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BA" w:rsidRPr="00FE6ABA" w:rsidRDefault="00FE6ABA" w:rsidP="00FE6ABA">
      <w:pPr>
        <w:jc w:val="right"/>
        <w:rPr>
          <w:b/>
        </w:rPr>
      </w:pPr>
      <w:r w:rsidRPr="00FE6ABA">
        <w:rPr>
          <w:b/>
        </w:rPr>
        <w:t>OSNUTEK ODLOKA:</w:t>
      </w:r>
    </w:p>
    <w:p w:rsidR="00E96957" w:rsidRDefault="00D04EAF" w:rsidP="00CD78F9">
      <w:pPr>
        <w:jc w:val="both"/>
      </w:pPr>
      <w:r>
        <w:t>Na podlagi</w:t>
      </w:r>
      <w:r w:rsidR="00CD78F9">
        <w:t xml:space="preserve"> 21. in 29. čl. Zakona o lokalni samoupravi (Uradni list RS, št</w:t>
      </w:r>
      <w:r w:rsidR="00CD78F9" w:rsidRPr="00CD78F9">
        <w:t xml:space="preserve">. </w:t>
      </w:r>
      <w:r w:rsidR="00CD78F9" w:rsidRPr="00CD78F9">
        <w:rPr>
          <w:rStyle w:val="apple-converted-space"/>
          <w:rFonts w:ascii="Arial" w:hAnsi="Arial" w:cs="Arial"/>
          <w:b/>
          <w:bCs/>
          <w:sz w:val="18"/>
          <w:szCs w:val="18"/>
          <w:shd w:val="clear" w:color="auto" w:fill="FFFFFF"/>
        </w:rPr>
        <w:t> </w:t>
      </w:r>
      <w:hyperlink r:id="rId5" w:tgtFrame="_blank" w:tooltip="Zakon o lokalni samoupravi (uradno prečiščeno besedilo)" w:history="1">
        <w:r w:rsidR="00CD78F9" w:rsidRPr="00CD78F9">
          <w:rPr>
            <w:rStyle w:val="Hiperpovezava"/>
            <w:rFonts w:cs="Times New Roman"/>
            <w:bCs/>
            <w:color w:val="auto"/>
            <w:szCs w:val="24"/>
            <w:u w:val="none"/>
            <w:shd w:val="clear" w:color="auto" w:fill="FFFFFF"/>
          </w:rPr>
          <w:t>94/07</w:t>
        </w:r>
      </w:hyperlink>
      <w:r w:rsidR="00CD78F9" w:rsidRPr="00CD78F9">
        <w:rPr>
          <w:rStyle w:val="apple-converted-space"/>
          <w:rFonts w:cs="Times New Roman"/>
          <w:bCs/>
          <w:szCs w:val="24"/>
          <w:shd w:val="clear" w:color="auto" w:fill="FFFFFF"/>
        </w:rPr>
        <w:t> </w:t>
      </w:r>
      <w:r w:rsidR="00CD78F9" w:rsidRPr="00CD78F9">
        <w:rPr>
          <w:rFonts w:cs="Times New Roman"/>
          <w:bCs/>
          <w:szCs w:val="24"/>
          <w:shd w:val="clear" w:color="auto" w:fill="FFFFFF"/>
        </w:rPr>
        <w:t>– uradno prečiščeno besedilo,</w:t>
      </w:r>
      <w:r w:rsidR="00CD78F9" w:rsidRPr="00CD78F9">
        <w:rPr>
          <w:rStyle w:val="apple-converted-space"/>
          <w:rFonts w:cs="Times New Roman"/>
          <w:bCs/>
          <w:szCs w:val="24"/>
          <w:shd w:val="clear" w:color="auto" w:fill="FFFFFF"/>
        </w:rPr>
        <w:t> </w:t>
      </w:r>
      <w:hyperlink r:id="rId6" w:tgtFrame="_blank" w:tooltip="Zakon o dopolnitvi Zakona o lokalni samoupravi" w:history="1">
        <w:r w:rsidR="00CD78F9" w:rsidRPr="00CD78F9">
          <w:rPr>
            <w:rStyle w:val="Hiperpovezava"/>
            <w:rFonts w:cs="Times New Roman"/>
            <w:bCs/>
            <w:color w:val="auto"/>
            <w:szCs w:val="24"/>
            <w:u w:val="none"/>
            <w:shd w:val="clear" w:color="auto" w:fill="FFFFFF"/>
          </w:rPr>
          <w:t>76/08</w:t>
        </w:r>
      </w:hyperlink>
      <w:r w:rsidR="00CD78F9" w:rsidRPr="00CD78F9">
        <w:rPr>
          <w:rFonts w:cs="Times New Roman"/>
          <w:bCs/>
          <w:szCs w:val="24"/>
          <w:shd w:val="clear" w:color="auto" w:fill="FFFFFF"/>
        </w:rPr>
        <w:t>,</w:t>
      </w:r>
      <w:r w:rsidR="00CD78F9" w:rsidRPr="00CD78F9">
        <w:rPr>
          <w:rStyle w:val="apple-converted-space"/>
          <w:rFonts w:cs="Times New Roman"/>
          <w:bCs/>
          <w:szCs w:val="24"/>
          <w:shd w:val="clear" w:color="auto" w:fill="FFFFFF"/>
        </w:rPr>
        <w:t> </w:t>
      </w:r>
      <w:hyperlink r:id="rId7" w:tgtFrame="_blank" w:tooltip="Zakon o spremembah in dopolnitvah Zakona o lokalni samoupravi" w:history="1">
        <w:r w:rsidR="00CD78F9" w:rsidRPr="00CD78F9">
          <w:rPr>
            <w:rStyle w:val="Hiperpovezava"/>
            <w:rFonts w:cs="Times New Roman"/>
            <w:bCs/>
            <w:color w:val="auto"/>
            <w:szCs w:val="24"/>
            <w:u w:val="none"/>
            <w:shd w:val="clear" w:color="auto" w:fill="FFFFFF"/>
          </w:rPr>
          <w:t>79/09</w:t>
        </w:r>
      </w:hyperlink>
      <w:r w:rsidR="00CD78F9" w:rsidRPr="00CD78F9">
        <w:rPr>
          <w:rFonts w:cs="Times New Roman"/>
          <w:bCs/>
          <w:szCs w:val="24"/>
          <w:shd w:val="clear" w:color="auto" w:fill="FFFFFF"/>
        </w:rPr>
        <w:t>,</w:t>
      </w:r>
      <w:r w:rsidR="00CD78F9" w:rsidRPr="00CD78F9">
        <w:rPr>
          <w:rStyle w:val="apple-converted-space"/>
          <w:rFonts w:cs="Times New Roman"/>
          <w:bCs/>
          <w:szCs w:val="24"/>
          <w:shd w:val="clear" w:color="auto" w:fill="FFFFFF"/>
        </w:rPr>
        <w:t> </w:t>
      </w:r>
      <w:hyperlink r:id="rId8" w:tgtFrame="_blank" w:tooltip="Zakon o spremembah in dopolnitvah Zakona o lokalni samoupravi" w:history="1">
        <w:r w:rsidR="00CD78F9" w:rsidRPr="00CD78F9">
          <w:rPr>
            <w:rStyle w:val="Hiperpovezava"/>
            <w:rFonts w:cs="Times New Roman"/>
            <w:bCs/>
            <w:color w:val="auto"/>
            <w:szCs w:val="24"/>
            <w:u w:val="none"/>
            <w:shd w:val="clear" w:color="auto" w:fill="FFFFFF"/>
          </w:rPr>
          <w:t>51/10</w:t>
        </w:r>
      </w:hyperlink>
      <w:r w:rsidR="00CD78F9" w:rsidRPr="00CD78F9">
        <w:rPr>
          <w:rFonts w:cs="Times New Roman"/>
          <w:bCs/>
          <w:szCs w:val="24"/>
          <w:shd w:val="clear" w:color="auto" w:fill="FFFFFF"/>
        </w:rPr>
        <w:t>,</w:t>
      </w:r>
      <w:r w:rsidR="00CD78F9" w:rsidRPr="00CD78F9">
        <w:rPr>
          <w:rStyle w:val="apple-converted-space"/>
          <w:rFonts w:cs="Times New Roman"/>
          <w:bCs/>
          <w:szCs w:val="24"/>
          <w:shd w:val="clear" w:color="auto" w:fill="FFFFFF"/>
        </w:rPr>
        <w:t> </w:t>
      </w:r>
      <w:hyperlink r:id="rId9" w:tgtFrame="_blank" w:tooltip="Zakon za uravnoteženje javnih financ" w:history="1">
        <w:r w:rsidR="00CD78F9" w:rsidRPr="00CD78F9">
          <w:rPr>
            <w:rStyle w:val="Hiperpovezava"/>
            <w:rFonts w:cs="Times New Roman"/>
            <w:bCs/>
            <w:color w:val="auto"/>
            <w:szCs w:val="24"/>
            <w:u w:val="none"/>
            <w:shd w:val="clear" w:color="auto" w:fill="FFFFFF"/>
          </w:rPr>
          <w:t>40/12</w:t>
        </w:r>
      </w:hyperlink>
      <w:r w:rsidR="00CD78F9" w:rsidRPr="00CD78F9">
        <w:rPr>
          <w:rStyle w:val="apple-converted-space"/>
          <w:rFonts w:cs="Times New Roman"/>
          <w:bCs/>
          <w:szCs w:val="24"/>
          <w:shd w:val="clear" w:color="auto" w:fill="FFFFFF"/>
        </w:rPr>
        <w:t> </w:t>
      </w:r>
      <w:r w:rsidR="00CD78F9" w:rsidRPr="00CD78F9">
        <w:rPr>
          <w:rFonts w:cs="Times New Roman"/>
          <w:bCs/>
          <w:szCs w:val="24"/>
          <w:shd w:val="clear" w:color="auto" w:fill="FFFFFF"/>
        </w:rPr>
        <w:t>– ZUJF in</w:t>
      </w:r>
      <w:r w:rsidR="00CD78F9" w:rsidRPr="00CD78F9">
        <w:rPr>
          <w:rStyle w:val="apple-converted-space"/>
          <w:rFonts w:cs="Times New Roman"/>
          <w:bCs/>
          <w:szCs w:val="24"/>
          <w:shd w:val="clear" w:color="auto" w:fill="FFFFFF"/>
        </w:rPr>
        <w:t> </w:t>
      </w:r>
      <w:hyperlink r:id="rId10" w:tgtFrame="_blank" w:tooltip="Zakon o ukrepih za uravnoteženje javnih financ občin" w:history="1">
        <w:r w:rsidR="00CD78F9" w:rsidRPr="00CD78F9">
          <w:rPr>
            <w:rStyle w:val="Hiperpovezava"/>
            <w:rFonts w:cs="Times New Roman"/>
            <w:bCs/>
            <w:color w:val="auto"/>
            <w:szCs w:val="24"/>
            <w:u w:val="none"/>
            <w:shd w:val="clear" w:color="auto" w:fill="FFFFFF"/>
          </w:rPr>
          <w:t>14/15</w:t>
        </w:r>
      </w:hyperlink>
      <w:r w:rsidR="00CD78F9" w:rsidRPr="00CD78F9">
        <w:rPr>
          <w:rStyle w:val="apple-converted-space"/>
          <w:rFonts w:cs="Times New Roman"/>
          <w:bCs/>
          <w:szCs w:val="24"/>
          <w:shd w:val="clear" w:color="auto" w:fill="FFFFFF"/>
        </w:rPr>
        <w:t> </w:t>
      </w:r>
      <w:r w:rsidR="00CD78F9" w:rsidRPr="00CD78F9">
        <w:rPr>
          <w:rFonts w:cs="Times New Roman"/>
          <w:bCs/>
          <w:szCs w:val="24"/>
          <w:shd w:val="clear" w:color="auto" w:fill="FFFFFF"/>
        </w:rPr>
        <w:t>– ZUUJFO</w:t>
      </w:r>
      <w:r w:rsidR="00CD78F9" w:rsidRPr="00CD78F9">
        <w:rPr>
          <w:rFonts w:cs="Times New Roman"/>
          <w:szCs w:val="24"/>
        </w:rPr>
        <w:t>)</w:t>
      </w:r>
      <w:r w:rsidR="00CD78F9">
        <w:rPr>
          <w:rFonts w:cs="Times New Roman"/>
          <w:szCs w:val="24"/>
        </w:rPr>
        <w:t>,</w:t>
      </w:r>
      <w:r w:rsidRPr="00CD78F9">
        <w:t xml:space="preserve"> </w:t>
      </w:r>
      <w:r>
        <w:t xml:space="preserve">13. člena Zakona o varstvu kulturne dediščine (Uradni list RS, št. 16/08, 123/08, 8/11, 30/11-odl. US, 90/12, 111/13, 32/16), 16. člena Statuta (Medobčinski uradni vestnik št. 16/10) je Občinski svet Občine Sv. Jurij v Slov. goricah na ___ redni seji, dne ____________, sprejel </w:t>
      </w:r>
    </w:p>
    <w:p w:rsidR="00D04EAF" w:rsidRDefault="00D04EAF"/>
    <w:p w:rsidR="00D04EAF" w:rsidRDefault="00D04EAF"/>
    <w:p w:rsidR="00D04EAF" w:rsidRPr="00FD1F9A" w:rsidRDefault="00D04EAF" w:rsidP="00FD1F9A">
      <w:pPr>
        <w:jc w:val="center"/>
        <w:rPr>
          <w:b/>
        </w:rPr>
      </w:pPr>
      <w:r w:rsidRPr="00FD1F9A">
        <w:rPr>
          <w:b/>
        </w:rPr>
        <w:t>ODLOK</w:t>
      </w:r>
    </w:p>
    <w:p w:rsidR="00D04EAF" w:rsidRPr="00FD1F9A" w:rsidRDefault="00D04EAF" w:rsidP="00FD1F9A">
      <w:pPr>
        <w:jc w:val="center"/>
        <w:rPr>
          <w:b/>
        </w:rPr>
      </w:pPr>
      <w:r w:rsidRPr="00FD1F9A">
        <w:rPr>
          <w:b/>
        </w:rPr>
        <w:t>O RAZ</w:t>
      </w:r>
      <w:bookmarkStart w:id="0" w:name="_GoBack"/>
      <w:bookmarkEnd w:id="0"/>
      <w:r w:rsidRPr="00FD1F9A">
        <w:rPr>
          <w:b/>
        </w:rPr>
        <w:t>GLASITVI</w:t>
      </w:r>
    </w:p>
    <w:p w:rsidR="00FD1F9A" w:rsidRPr="00FD1F9A" w:rsidRDefault="00FD1F9A" w:rsidP="00FD1F9A">
      <w:pPr>
        <w:jc w:val="center"/>
        <w:rPr>
          <w:b/>
        </w:rPr>
      </w:pPr>
      <w:r w:rsidRPr="00FD1F9A">
        <w:rPr>
          <w:b/>
        </w:rPr>
        <w:t>NEPREMIČNIH KULTURNIH SPOMENIKOV LOKALNEGA POMENA</w:t>
      </w:r>
    </w:p>
    <w:p w:rsidR="00FD1F9A" w:rsidRDefault="00FD1F9A" w:rsidP="00FD1F9A">
      <w:pPr>
        <w:jc w:val="center"/>
        <w:rPr>
          <w:b/>
        </w:rPr>
      </w:pPr>
      <w:r w:rsidRPr="00FD1F9A">
        <w:rPr>
          <w:b/>
        </w:rPr>
        <w:t>NA OBMOČJU OBČINE SVETI JURIJ V SLOVENSKIH GORICAH</w:t>
      </w:r>
    </w:p>
    <w:p w:rsidR="00FD1F9A" w:rsidRDefault="00FD1F9A" w:rsidP="00FD1F9A">
      <w:pPr>
        <w:jc w:val="center"/>
        <w:rPr>
          <w:b/>
        </w:rPr>
      </w:pPr>
    </w:p>
    <w:p w:rsidR="00FD1F9A" w:rsidRDefault="00FD1F9A" w:rsidP="00FD1F9A">
      <w:pPr>
        <w:jc w:val="center"/>
        <w:rPr>
          <w:b/>
        </w:rPr>
      </w:pPr>
    </w:p>
    <w:p w:rsidR="00FD1F9A" w:rsidRDefault="00FD1F9A" w:rsidP="00FD1F9A">
      <w:pPr>
        <w:pStyle w:val="Odstavekseznama"/>
        <w:numPr>
          <w:ilvl w:val="0"/>
          <w:numId w:val="1"/>
        </w:numPr>
        <w:jc w:val="center"/>
        <w:rPr>
          <w:b/>
        </w:rPr>
      </w:pPr>
      <w:r>
        <w:rPr>
          <w:b/>
        </w:rPr>
        <w:t>člen</w:t>
      </w:r>
    </w:p>
    <w:p w:rsidR="00FD1F9A" w:rsidRDefault="00FD1F9A" w:rsidP="00FD1F9A">
      <w:pPr>
        <w:jc w:val="both"/>
      </w:pPr>
      <w:r>
        <w:t xml:space="preserve">S tem odlokom Občina Sveti Jurij v Slovenskih goricah (v nadaljevanju: občina) razglaša kulturne spomenike lokalnega pomena na območju Občine Sveti Jurij v Slovenskih goricah. </w:t>
      </w:r>
    </w:p>
    <w:p w:rsidR="00FD1F9A" w:rsidRDefault="00FD1F9A" w:rsidP="00FD1F9A">
      <w:pPr>
        <w:jc w:val="both"/>
      </w:pPr>
    </w:p>
    <w:p w:rsidR="00FD1F9A" w:rsidRPr="00FD1F9A" w:rsidRDefault="00FD1F9A" w:rsidP="00FD1F9A">
      <w:pPr>
        <w:jc w:val="both"/>
      </w:pPr>
    </w:p>
    <w:p w:rsidR="00FD1F9A" w:rsidRDefault="00FD1F9A" w:rsidP="00FD1F9A">
      <w:pPr>
        <w:pStyle w:val="Odstavekseznama"/>
        <w:numPr>
          <w:ilvl w:val="0"/>
          <w:numId w:val="1"/>
        </w:numPr>
        <w:jc w:val="center"/>
        <w:rPr>
          <w:b/>
        </w:rPr>
      </w:pPr>
      <w:r>
        <w:rPr>
          <w:b/>
        </w:rPr>
        <w:t>člen</w:t>
      </w:r>
    </w:p>
    <w:p w:rsidR="00FD1F9A" w:rsidRPr="00FD1F9A" w:rsidRDefault="00FD1F9A" w:rsidP="00FD1F9A">
      <w:pPr>
        <w:pStyle w:val="Odstavekseznama"/>
        <w:ind w:left="0"/>
        <w:jc w:val="both"/>
      </w:pPr>
      <w:r>
        <w:t xml:space="preserve">Namen odloka je, da se ohranijo kulturne, zgodovinske, arheološke, urbanistične, etnološke in umetnostno – zgodovinske vrednote ter zagotovi njihov nadaljnji obstoj v občini. </w:t>
      </w:r>
    </w:p>
    <w:p w:rsidR="00FD1F9A" w:rsidRDefault="00FD1F9A" w:rsidP="00FD1F9A">
      <w:pPr>
        <w:pStyle w:val="Odstavekseznama"/>
        <w:rPr>
          <w:b/>
        </w:rPr>
      </w:pPr>
    </w:p>
    <w:p w:rsidR="00FD1F9A" w:rsidRDefault="00FD1F9A" w:rsidP="00FD1F9A">
      <w:pPr>
        <w:pStyle w:val="Odstavekseznama"/>
        <w:rPr>
          <w:b/>
        </w:rPr>
      </w:pPr>
    </w:p>
    <w:p w:rsidR="00FD1F9A" w:rsidRDefault="00FD1F9A" w:rsidP="00FD1F9A">
      <w:pPr>
        <w:pStyle w:val="Odstavekseznama"/>
        <w:numPr>
          <w:ilvl w:val="0"/>
          <w:numId w:val="1"/>
        </w:numPr>
        <w:jc w:val="center"/>
        <w:rPr>
          <w:b/>
        </w:rPr>
      </w:pPr>
      <w:r>
        <w:rPr>
          <w:b/>
        </w:rPr>
        <w:t>člen</w:t>
      </w:r>
    </w:p>
    <w:p w:rsidR="00FD1F9A" w:rsidRDefault="00FD1F9A" w:rsidP="00FD1F9A">
      <w:r w:rsidRPr="00FD1F9A">
        <w:t xml:space="preserve">Nepremični </w:t>
      </w:r>
      <w:r>
        <w:t xml:space="preserve">kulturni spomeniki so opredeljeni na osnovi strokovnih podlag Zavoda za varstvo kulturne dediščine Slovenije, Območna enota Maribor (v nadaljevanju: </w:t>
      </w:r>
      <w:r w:rsidR="008C5292">
        <w:t>z</w:t>
      </w:r>
      <w:r>
        <w:t>avod).</w:t>
      </w:r>
    </w:p>
    <w:p w:rsidR="00FD1F9A" w:rsidRDefault="00FD1F9A" w:rsidP="00FD1F9A"/>
    <w:p w:rsidR="00FD1F9A" w:rsidRDefault="00FD1F9A" w:rsidP="00FD1F9A">
      <w:r>
        <w:t xml:space="preserve">Vsak opis spomenika vključuje: </w:t>
      </w:r>
    </w:p>
    <w:p w:rsidR="00FD1F9A" w:rsidRDefault="00FD1F9A" w:rsidP="00FD1F9A">
      <w:pPr>
        <w:pStyle w:val="Odstavekseznama"/>
        <w:numPr>
          <w:ilvl w:val="0"/>
          <w:numId w:val="2"/>
        </w:numPr>
      </w:pPr>
      <w:r>
        <w:t>identifikacijo spomenika;</w:t>
      </w:r>
    </w:p>
    <w:p w:rsidR="00FD1F9A" w:rsidRDefault="00FD1F9A" w:rsidP="00FD1F9A">
      <w:pPr>
        <w:pStyle w:val="Odstavekseznama"/>
        <w:numPr>
          <w:ilvl w:val="0"/>
          <w:numId w:val="2"/>
        </w:numPr>
      </w:pPr>
      <w:r>
        <w:t xml:space="preserve">opis lastnosti, ki utemeljujejo razglasitev za spomenik, </w:t>
      </w:r>
    </w:p>
    <w:p w:rsidR="00FD1F9A" w:rsidRDefault="00FD1F9A" w:rsidP="00FD1F9A">
      <w:pPr>
        <w:pStyle w:val="Odstavekseznama"/>
        <w:numPr>
          <w:ilvl w:val="0"/>
          <w:numId w:val="2"/>
        </w:numPr>
      </w:pPr>
      <w:r>
        <w:t xml:space="preserve">varstveni režim spomenika, </w:t>
      </w:r>
    </w:p>
    <w:p w:rsidR="00FD1F9A" w:rsidRPr="00FD1F9A" w:rsidRDefault="00FD1F9A" w:rsidP="00FD1F9A">
      <w:pPr>
        <w:pStyle w:val="Odstavekseznama"/>
        <w:numPr>
          <w:ilvl w:val="0"/>
          <w:numId w:val="2"/>
        </w:numPr>
      </w:pPr>
      <w:r>
        <w:t xml:space="preserve">vplivno območje, pri čemer so upoštevane zgodovinske, funkcionalne in vizualne lastnosti ter pomen spomenika. </w:t>
      </w:r>
    </w:p>
    <w:p w:rsidR="00FD1F9A" w:rsidRPr="00FD1F9A" w:rsidRDefault="00FD1F9A" w:rsidP="00FD1F9A">
      <w:pPr>
        <w:rPr>
          <w:b/>
        </w:rPr>
      </w:pPr>
    </w:p>
    <w:p w:rsidR="00FD1F9A" w:rsidRDefault="00FD1F9A" w:rsidP="00FD1F9A">
      <w:pPr>
        <w:pStyle w:val="Odstavekseznama"/>
        <w:numPr>
          <w:ilvl w:val="0"/>
          <w:numId w:val="1"/>
        </w:numPr>
        <w:jc w:val="center"/>
        <w:rPr>
          <w:b/>
        </w:rPr>
      </w:pPr>
      <w:r>
        <w:rPr>
          <w:b/>
        </w:rPr>
        <w:t>člen</w:t>
      </w:r>
    </w:p>
    <w:p w:rsidR="00FD1F9A" w:rsidRDefault="005875D2" w:rsidP="00FD1F9A">
      <w:pPr>
        <w:pStyle w:val="Odstavekseznama"/>
        <w:ind w:left="0"/>
      </w:pPr>
      <w:r>
        <w:t xml:space="preserve">Za kulturne spomenike lokalnega pomena se razglasijo naslednje enote dediščine: </w:t>
      </w:r>
    </w:p>
    <w:p w:rsidR="005875D2" w:rsidRDefault="005875D2" w:rsidP="00FD1F9A">
      <w:pPr>
        <w:pStyle w:val="Odstavekseznama"/>
        <w:ind w:left="0"/>
      </w:pPr>
    </w:p>
    <w:p w:rsidR="005875D2" w:rsidRPr="005875D2" w:rsidRDefault="005875D2" w:rsidP="001818AD">
      <w:pPr>
        <w:pStyle w:val="Naslov1"/>
        <w:numPr>
          <w:ilvl w:val="0"/>
          <w:numId w:val="6"/>
        </w:numPr>
        <w:rPr>
          <w:rFonts w:ascii="Times New Roman" w:hAnsi="Times New Roman" w:cs="Times New Roman"/>
        </w:rPr>
      </w:pPr>
      <w:bookmarkStart w:id="1" w:name="_Toc137005608"/>
      <w:bookmarkStart w:id="2" w:name="_Toc137005796"/>
      <w:bookmarkStart w:id="3" w:name="_Toc137006414"/>
      <w:bookmarkStart w:id="4" w:name="_Toc137008377"/>
      <w:bookmarkStart w:id="5" w:name="_Toc139421957"/>
      <w:bookmarkStart w:id="6" w:name="_Toc139422114"/>
      <w:bookmarkStart w:id="7" w:name="_Toc139423762"/>
      <w:bookmarkStart w:id="8" w:name="_Toc140020628"/>
      <w:bookmarkStart w:id="9" w:name="_Toc140275714"/>
      <w:bookmarkStart w:id="10" w:name="_Toc140278375"/>
      <w:bookmarkStart w:id="11" w:name="_Toc140286126"/>
      <w:bookmarkStart w:id="12" w:name="_Toc140286494"/>
      <w:bookmarkStart w:id="13" w:name="_Toc140296192"/>
      <w:bookmarkStart w:id="14" w:name="_Toc140296365"/>
      <w:bookmarkStart w:id="15" w:name="_Toc449093081"/>
      <w:r w:rsidRPr="005875D2">
        <w:rPr>
          <w:rFonts w:ascii="Times New Roman" w:hAnsi="Times New Roman" w:cs="Times New Roman"/>
        </w:rPr>
        <w:t>Arheološka najdišča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8"/>
        <w:gridCol w:w="6804"/>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04"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7082</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p>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04"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16" w:name="_Toc449093082"/>
            <w:r w:rsidRPr="005875D2">
              <w:rPr>
                <w:rFonts w:ascii="Times New Roman" w:hAnsi="Times New Roman" w:cs="Times New Roman"/>
                <w:b/>
                <w:bCs/>
              </w:rPr>
              <w:t>Jurovski Dol - Rimskodobno gomilno grobišče</w:t>
            </w:r>
            <w:bookmarkEnd w:id="16"/>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 :</w:t>
            </w:r>
          </w:p>
        </w:tc>
        <w:tc>
          <w:tcPr>
            <w:tcW w:w="6804" w:type="dxa"/>
            <w:tcBorders>
              <w:top w:val="nil"/>
              <w:left w:val="nil"/>
              <w:bottom w:val="nil"/>
              <w:right w:val="nil"/>
            </w:tcBorders>
          </w:tcPr>
          <w:p w:rsidR="005875D2" w:rsidRPr="005875D2" w:rsidRDefault="005875D2" w:rsidP="005F01BB">
            <w:pPr>
              <w:jc w:val="both"/>
              <w:rPr>
                <w:rFonts w:cs="Times New Roman"/>
                <w:szCs w:val="24"/>
              </w:rPr>
            </w:pPr>
            <w:proofErr w:type="spellStart"/>
            <w:r w:rsidRPr="005875D2">
              <w:rPr>
                <w:rFonts w:cs="Times New Roman"/>
                <w:szCs w:val="24"/>
              </w:rPr>
              <w:t>parc</w:t>
            </w:r>
            <w:proofErr w:type="spellEnd"/>
            <w:r w:rsidRPr="005875D2">
              <w:rPr>
                <w:rFonts w:cs="Times New Roman"/>
                <w:szCs w:val="24"/>
              </w:rPr>
              <w:t xml:space="preserve">. </w:t>
            </w:r>
            <w:r w:rsidR="00CD78F9">
              <w:rPr>
                <w:rFonts w:cs="Times New Roman"/>
                <w:szCs w:val="24"/>
              </w:rPr>
              <w:t xml:space="preserve">št. 444/8, 444/9 </w:t>
            </w:r>
            <w:proofErr w:type="spellStart"/>
            <w:r w:rsidR="00CD78F9">
              <w:rPr>
                <w:rFonts w:cs="Times New Roman"/>
                <w:szCs w:val="24"/>
              </w:rPr>
              <w:t>k.o</w:t>
            </w:r>
            <w:proofErr w:type="spellEnd"/>
            <w:r w:rsidR="00CD78F9">
              <w:rPr>
                <w:rFonts w:cs="Times New Roman"/>
                <w:szCs w:val="24"/>
              </w:rPr>
              <w:t>. Jurovski D</w:t>
            </w:r>
            <w:r w:rsidRPr="005875D2">
              <w:rPr>
                <w:rFonts w:cs="Times New Roman"/>
                <w:szCs w:val="24"/>
              </w:rPr>
              <w:t>ol</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Severozahodno od vasi in severno tik ob cesti Jakobski Dol – Jurovski Dol, je na vzhodnem pobočju grebena v gozdu pet delno prekopanih gomil s premeri od 8 do </w:t>
            </w:r>
            <w:smartTag w:uri="urn:schemas-microsoft-com:office:smarttags" w:element="metricconverter">
              <w:smartTagPr>
                <w:attr w:name="ProductID" w:val="15 m"/>
              </w:smartTagPr>
              <w:r w:rsidRPr="005875D2">
                <w:rPr>
                  <w:rFonts w:cs="Times New Roman"/>
                  <w:szCs w:val="24"/>
                </w:rPr>
                <w:t>15 m</w:t>
              </w:r>
            </w:smartTag>
            <w:r w:rsidRPr="005875D2">
              <w:rPr>
                <w:rFonts w:cs="Times New Roman"/>
                <w:szCs w:val="24"/>
              </w:rPr>
              <w:t xml:space="preserve"> in višinami od 0,60 do </w:t>
            </w:r>
            <w:smartTag w:uri="urn:schemas-microsoft-com:office:smarttags" w:element="metricconverter">
              <w:smartTagPr>
                <w:attr w:name="ProductID" w:val="1,7 m"/>
              </w:smartTagPr>
              <w:r w:rsidRPr="005875D2">
                <w:rPr>
                  <w:rFonts w:cs="Times New Roman"/>
                  <w:szCs w:val="24"/>
                </w:rPr>
                <w:t>1,7 m</w:t>
              </w:r>
            </w:smartTag>
            <w:r w:rsidRPr="005875D2">
              <w:rPr>
                <w:rFonts w:cs="Times New Roman"/>
                <w:szCs w:val="24"/>
              </w:rPr>
              <w:t xml:space="preserve">. Gomile so glede na starejše poročilo iz leta </w:t>
            </w:r>
            <w:smartTag w:uri="urn:schemas-microsoft-com:office:smarttags" w:element="metricconverter">
              <w:smartTagPr>
                <w:attr w:name="ProductID" w:val="1923 in"/>
              </w:smartTagPr>
              <w:r w:rsidRPr="005875D2">
                <w:rPr>
                  <w:rFonts w:cs="Times New Roman"/>
                  <w:szCs w:val="24"/>
                </w:rPr>
                <w:t>1923 in</w:t>
              </w:r>
            </w:smartTag>
            <w:r w:rsidRPr="005875D2">
              <w:rPr>
                <w:rFonts w:cs="Times New Roman"/>
                <w:szCs w:val="24"/>
              </w:rPr>
              <w:t xml:space="preserve"> danes izgubljene najdbe </w:t>
            </w:r>
            <w:r w:rsidRPr="005875D2">
              <w:rPr>
                <w:rFonts w:cs="Times New Roman"/>
                <w:szCs w:val="24"/>
              </w:rPr>
              <w:lastRenderedPageBreak/>
              <w:t xml:space="preserve">verjetno antične, vendar neraziskane, zato je časovna opredelitev negotova. </w:t>
            </w:r>
          </w:p>
          <w:p w:rsidR="005875D2" w:rsidRPr="005875D2" w:rsidRDefault="005875D2" w:rsidP="005F01BB">
            <w:pPr>
              <w:jc w:val="both"/>
              <w:rPr>
                <w:rFonts w:cs="Times New Roman"/>
                <w:szCs w:val="24"/>
              </w:rPr>
            </w:pPr>
            <w:r w:rsidRPr="005875D2">
              <w:rPr>
                <w:rFonts w:cs="Times New Roman"/>
                <w:szCs w:val="24"/>
              </w:rPr>
              <w:t>Gomile so označene, predstavljajo značilnost krajine in pomenijo arheološki spomenik v prvotni legi.</w:t>
            </w:r>
          </w:p>
          <w:p w:rsidR="005875D2" w:rsidRPr="005875D2" w:rsidRDefault="005875D2" w:rsidP="005F01BB">
            <w:pPr>
              <w:jc w:val="both"/>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04" w:type="dxa"/>
            <w:tcBorders>
              <w:top w:val="nil"/>
              <w:left w:val="nil"/>
              <w:bottom w:val="nil"/>
              <w:right w:val="nil"/>
            </w:tcBorders>
          </w:tcPr>
          <w:p w:rsidR="005875D2" w:rsidRPr="005875D2" w:rsidRDefault="005875D2" w:rsidP="005F01BB">
            <w:pPr>
              <w:widowControl w:val="0"/>
              <w:tabs>
                <w:tab w:val="left" w:pos="566"/>
                <w:tab w:val="left" w:pos="2267"/>
              </w:tabs>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varovanje arheoloških ostalin v zemljiščih in v prostoru kot vira človekove preteklosti in kot sredstva za arheološko, zgodovinsko in znanstveno proučevanje;</w:t>
            </w:r>
          </w:p>
          <w:p w:rsidR="005875D2" w:rsidRPr="005875D2" w:rsidRDefault="005875D2" w:rsidP="005875D2">
            <w:pPr>
              <w:numPr>
                <w:ilvl w:val="0"/>
                <w:numId w:val="5"/>
              </w:numPr>
              <w:jc w:val="both"/>
              <w:rPr>
                <w:rFonts w:cs="Times New Roman"/>
                <w:szCs w:val="24"/>
              </w:rPr>
            </w:pPr>
            <w:r w:rsidRPr="005875D2">
              <w:rPr>
                <w:rFonts w:cs="Times New Roman"/>
                <w:szCs w:val="24"/>
              </w:rPr>
              <w:t>zemljišča se ohranjajo v obstoječem stanju, z gozdom se gospodari na tradicionalni način, na območju gomil je prepovedana gradnja novih gozdnih cest in vlak, na območju gomil je  prepovedano izkopavanje panjev in skal;</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 xml:space="preserve">v zemljišča se posega le izjemoma in sicer v procesu znanstvenega proučevanja ali v primeru druge javne koristi, če so izčrpane vse druge možnosti umestitve objektov javnega interesa. V takem primeru je treba zagotoviti predhodno arheološko raziskavo; </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prepovedano je nepooblaščenim osebam uporabljati iskalce kovin in pobirati arheološke najdbe;</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 primeru odkritja kvalitetno ohranjenih in za širši prostor kulturno izpovednih ostalin, je le-te potrebno prezentirati »in situ« in jih primerno vključiti v okolje ter v turistično promocijo kraja.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Merilo:</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1:2880</w:t>
            </w:r>
          </w:p>
        </w:tc>
      </w:tr>
    </w:tbl>
    <w:p w:rsidR="005875D2" w:rsidRPr="005875D2" w:rsidRDefault="005875D2" w:rsidP="005875D2">
      <w:pPr>
        <w:spacing w:after="160" w:line="259" w:lineRule="auto"/>
        <w:rPr>
          <w:rFonts w:cs="Times New Roman"/>
          <w:szCs w:val="24"/>
        </w:rPr>
      </w:pPr>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8"/>
        <w:gridCol w:w="6804"/>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04"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1024</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p>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04"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17" w:name="_Toc449093083"/>
            <w:r w:rsidRPr="005875D2">
              <w:rPr>
                <w:rFonts w:ascii="Times New Roman" w:hAnsi="Times New Roman" w:cs="Times New Roman"/>
                <w:b/>
                <w:bCs/>
              </w:rPr>
              <w:t>Spodnji Gasteraj - Gomilno grobišče</w:t>
            </w:r>
            <w:bookmarkEnd w:id="17"/>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 :</w:t>
            </w:r>
          </w:p>
        </w:tc>
        <w:tc>
          <w:tcPr>
            <w:tcW w:w="6804" w:type="dxa"/>
            <w:tcBorders>
              <w:top w:val="nil"/>
              <w:left w:val="nil"/>
              <w:bottom w:val="nil"/>
              <w:right w:val="nil"/>
            </w:tcBorders>
          </w:tcPr>
          <w:p w:rsidR="005875D2" w:rsidRPr="005875D2" w:rsidRDefault="005875D2" w:rsidP="005F01BB">
            <w:pPr>
              <w:jc w:val="both"/>
              <w:rPr>
                <w:rFonts w:cs="Times New Roman"/>
                <w:szCs w:val="24"/>
              </w:rPr>
            </w:pPr>
            <w:proofErr w:type="spellStart"/>
            <w:r w:rsidRPr="005875D2">
              <w:rPr>
                <w:rFonts w:cs="Times New Roman"/>
                <w:szCs w:val="24"/>
              </w:rPr>
              <w:t>parc</w:t>
            </w:r>
            <w:proofErr w:type="spellEnd"/>
            <w:r w:rsidRPr="005875D2">
              <w:rPr>
                <w:rFonts w:cs="Times New Roman"/>
                <w:szCs w:val="24"/>
              </w:rPr>
              <w:t xml:space="preserve">. št.  58/9 </w:t>
            </w:r>
            <w:proofErr w:type="spellStart"/>
            <w:r w:rsidRPr="005875D2">
              <w:rPr>
                <w:rFonts w:cs="Times New Roman"/>
                <w:szCs w:val="24"/>
              </w:rPr>
              <w:t>k.o</w:t>
            </w:r>
            <w:proofErr w:type="spellEnd"/>
            <w:r w:rsidRPr="005875D2">
              <w:rPr>
                <w:rFonts w:cs="Times New Roman"/>
                <w:szCs w:val="24"/>
              </w:rPr>
              <w:t>. Spodnji Gasteraj</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Severovzhodno od naselja sta v gozdu severno tik nad cesto med Spodnjim Gasterajem in Žicami, na terasasti ravnici severnega pobočja Gasterajskega grebena delno prekopani gomili s premerom 18 oziroma </w:t>
            </w:r>
            <w:smartTag w:uri="urn:schemas-microsoft-com:office:smarttags" w:element="metricconverter">
              <w:smartTagPr>
                <w:attr w:name="ProductID" w:val="7,5 m"/>
              </w:smartTagPr>
              <w:r w:rsidRPr="005875D2">
                <w:rPr>
                  <w:rFonts w:cs="Times New Roman"/>
                  <w:szCs w:val="24"/>
                </w:rPr>
                <w:t>7,5 m</w:t>
              </w:r>
            </w:smartTag>
            <w:r w:rsidRPr="005875D2">
              <w:rPr>
                <w:rFonts w:cs="Times New Roman"/>
                <w:szCs w:val="24"/>
              </w:rPr>
              <w:t xml:space="preserve"> in višine 1,8 oziroma </w:t>
            </w:r>
            <w:smartTag w:uri="urn:schemas-microsoft-com:office:smarttags" w:element="metricconverter">
              <w:smartTagPr>
                <w:attr w:name="ProductID" w:val="0,5 m"/>
              </w:smartTagPr>
              <w:r w:rsidRPr="005875D2">
                <w:rPr>
                  <w:rFonts w:cs="Times New Roman"/>
                  <w:szCs w:val="24"/>
                </w:rPr>
                <w:t>0,5 m</w:t>
              </w:r>
            </w:smartTag>
            <w:r w:rsidRPr="005875D2">
              <w:rPr>
                <w:rFonts w:cs="Times New Roman"/>
                <w:szCs w:val="24"/>
              </w:rPr>
              <w:t xml:space="preserve">. Gomili sta neraziskani in zato časovno še neopredeljeni. </w:t>
            </w:r>
          </w:p>
          <w:p w:rsidR="005875D2" w:rsidRPr="005875D2" w:rsidRDefault="005875D2" w:rsidP="005F01BB">
            <w:pPr>
              <w:jc w:val="both"/>
              <w:rPr>
                <w:rFonts w:cs="Times New Roman"/>
                <w:szCs w:val="24"/>
              </w:rPr>
            </w:pPr>
            <w:r w:rsidRPr="005875D2">
              <w:rPr>
                <w:rFonts w:cs="Times New Roman"/>
                <w:szCs w:val="24"/>
              </w:rPr>
              <w:t>Gomili kljub poškodovanosti predstavljata arheološki spomenik v prvotni legi.</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p>
        </w:tc>
        <w:tc>
          <w:tcPr>
            <w:tcW w:w="6804" w:type="dxa"/>
            <w:tcBorders>
              <w:top w:val="nil"/>
              <w:left w:val="nil"/>
              <w:bottom w:val="nil"/>
              <w:right w:val="nil"/>
            </w:tcBorders>
          </w:tcPr>
          <w:p w:rsidR="005875D2" w:rsidRPr="005875D2" w:rsidRDefault="005875D2" w:rsidP="005F01BB">
            <w:pPr>
              <w:jc w:val="both"/>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04" w:type="dxa"/>
            <w:tcBorders>
              <w:top w:val="nil"/>
              <w:left w:val="nil"/>
              <w:bottom w:val="nil"/>
              <w:right w:val="nil"/>
            </w:tcBorders>
          </w:tcPr>
          <w:p w:rsidR="005875D2" w:rsidRPr="005875D2" w:rsidRDefault="005875D2" w:rsidP="005F01BB">
            <w:pPr>
              <w:widowControl w:val="0"/>
              <w:tabs>
                <w:tab w:val="left" w:pos="566"/>
                <w:tab w:val="left" w:pos="2267"/>
              </w:tabs>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varovanje arheoloških ostalin v zemljiščih in v prostoru kot vira človekove preteklosti in kot sredstva za arheološko, zgodovinsko in znanstveno proučevanje;</w:t>
            </w:r>
          </w:p>
          <w:p w:rsidR="005875D2" w:rsidRPr="005875D2" w:rsidRDefault="005875D2" w:rsidP="005875D2">
            <w:pPr>
              <w:numPr>
                <w:ilvl w:val="0"/>
                <w:numId w:val="5"/>
              </w:numPr>
              <w:jc w:val="both"/>
              <w:rPr>
                <w:rFonts w:cs="Times New Roman"/>
                <w:szCs w:val="24"/>
              </w:rPr>
            </w:pPr>
            <w:r w:rsidRPr="005875D2">
              <w:rPr>
                <w:rFonts w:cs="Times New Roman"/>
                <w:szCs w:val="24"/>
              </w:rPr>
              <w:t>zemljišča se ohranjajo v obstoječem stanju, z gozdom se gospodari na tradicionalni način, na območju gomil je prepovedana gradnja novih gozdnih cest in vlak, na območju gomil je  prepovedano izkopavanje panjev in skal;</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lastRenderedPageBreak/>
              <w:t xml:space="preserve">v zemljišča se posega le izjemoma in sicer v procesu znanstvenega proučevanja ali v primeru druge javne koristi, če so izčrpane vse druge možnosti umestitve objektov javnega interesa. V takem primeru je treba zagotoviti predhodno arheološko raziskavo; </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prepovedano je nepooblaščenim osebam uporabljati iskalce kovin in pobirati arheološke najdbe;</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 primeru odkritja kvalitetno ohranjenih in za širši prostor kulturno izpovednih ostalin, je le-te potrebno prezentirati »in situ« in jih primerno vključiti v okolje ter v turistično promocijo kraja.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Merilo:</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1:2880</w:t>
            </w:r>
          </w:p>
        </w:tc>
      </w:tr>
    </w:tbl>
    <w:p w:rsidR="005875D2" w:rsidRPr="005875D2" w:rsidRDefault="005875D2" w:rsidP="005875D2">
      <w:pPr>
        <w:rPr>
          <w:rFonts w:cs="Times New Roman"/>
          <w:szCs w:val="24"/>
        </w:rPr>
      </w:pPr>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8"/>
        <w:gridCol w:w="6804"/>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04"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7084</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p>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04"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18" w:name="_Toc449093084"/>
            <w:r w:rsidRPr="005875D2">
              <w:rPr>
                <w:rFonts w:ascii="Times New Roman" w:hAnsi="Times New Roman" w:cs="Times New Roman"/>
                <w:b/>
                <w:bCs/>
              </w:rPr>
              <w:t>Srednji Gasteraj - Rimskodobno gomilno grobišče</w:t>
            </w:r>
            <w:bookmarkEnd w:id="18"/>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 :</w:t>
            </w:r>
          </w:p>
        </w:tc>
        <w:tc>
          <w:tcPr>
            <w:tcW w:w="6804" w:type="dxa"/>
            <w:tcBorders>
              <w:top w:val="nil"/>
              <w:left w:val="nil"/>
              <w:bottom w:val="nil"/>
              <w:right w:val="nil"/>
            </w:tcBorders>
          </w:tcPr>
          <w:p w:rsidR="005875D2" w:rsidRPr="005875D2" w:rsidRDefault="005875D2" w:rsidP="005F01BB">
            <w:pPr>
              <w:jc w:val="both"/>
              <w:rPr>
                <w:rFonts w:cs="Times New Roman"/>
                <w:szCs w:val="24"/>
              </w:rPr>
            </w:pPr>
            <w:proofErr w:type="spellStart"/>
            <w:r w:rsidRPr="005875D2">
              <w:rPr>
                <w:rFonts w:cs="Times New Roman"/>
                <w:szCs w:val="24"/>
              </w:rPr>
              <w:t>parc</w:t>
            </w:r>
            <w:proofErr w:type="spellEnd"/>
            <w:r w:rsidRPr="005875D2">
              <w:rPr>
                <w:rFonts w:cs="Times New Roman"/>
                <w:szCs w:val="24"/>
              </w:rPr>
              <w:t xml:space="preserve">. št. 46/3  </w:t>
            </w:r>
            <w:proofErr w:type="spellStart"/>
            <w:r w:rsidRPr="005875D2">
              <w:rPr>
                <w:rFonts w:cs="Times New Roman"/>
                <w:szCs w:val="24"/>
              </w:rPr>
              <w:t>k.o</w:t>
            </w:r>
            <w:proofErr w:type="spellEnd"/>
            <w:r w:rsidRPr="005875D2">
              <w:rPr>
                <w:rFonts w:cs="Times New Roman"/>
                <w:szCs w:val="24"/>
              </w:rPr>
              <w:t>. Srednji Gasteraj</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Severno od naselja so v gozdu, na ploskem delu vzhodnega pobočja Gasterajskega grebena tri delno prekopane gomile s premeri od 8 do </w:t>
            </w:r>
            <w:smartTag w:uri="urn:schemas-microsoft-com:office:smarttags" w:element="metricconverter">
              <w:smartTagPr>
                <w:attr w:name="ProductID" w:val="10 m"/>
              </w:smartTagPr>
              <w:r w:rsidRPr="005875D2">
                <w:rPr>
                  <w:rFonts w:cs="Times New Roman"/>
                  <w:szCs w:val="24"/>
                </w:rPr>
                <w:t>10 m</w:t>
              </w:r>
            </w:smartTag>
            <w:r w:rsidRPr="005875D2">
              <w:rPr>
                <w:rFonts w:cs="Times New Roman"/>
                <w:szCs w:val="24"/>
              </w:rPr>
              <w:t xml:space="preserve"> in višinami od 0,60 do </w:t>
            </w:r>
            <w:smartTag w:uri="urn:schemas-microsoft-com:office:smarttags" w:element="metricconverter">
              <w:smartTagPr>
                <w:attr w:name="ProductID" w:val="1 m"/>
              </w:smartTagPr>
              <w:r w:rsidRPr="005875D2">
                <w:rPr>
                  <w:rFonts w:cs="Times New Roman"/>
                  <w:szCs w:val="24"/>
                </w:rPr>
                <w:t>1 m</w:t>
              </w:r>
            </w:smartTag>
            <w:r w:rsidRPr="005875D2">
              <w:rPr>
                <w:rFonts w:cs="Times New Roman"/>
                <w:szCs w:val="24"/>
              </w:rPr>
              <w:t xml:space="preserve">. Gomile so verjetno antične, vendar neraziskane, zato je časovna opredelitev negotova. </w:t>
            </w:r>
          </w:p>
          <w:p w:rsidR="005875D2" w:rsidRPr="005875D2" w:rsidRDefault="005875D2" w:rsidP="005F01BB">
            <w:pPr>
              <w:jc w:val="both"/>
              <w:rPr>
                <w:rFonts w:cs="Times New Roman"/>
                <w:szCs w:val="24"/>
              </w:rPr>
            </w:pPr>
            <w:r w:rsidRPr="005875D2">
              <w:rPr>
                <w:rFonts w:cs="Times New Roman"/>
                <w:szCs w:val="24"/>
              </w:rPr>
              <w:t>Gomile kljub poškodovanosti predstavljajo arheološki spomenik v prvotni legi.</w:t>
            </w:r>
          </w:p>
          <w:p w:rsidR="005875D2" w:rsidRPr="005875D2" w:rsidRDefault="005875D2" w:rsidP="005F01BB">
            <w:pPr>
              <w:jc w:val="both"/>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04" w:type="dxa"/>
            <w:tcBorders>
              <w:top w:val="nil"/>
              <w:left w:val="nil"/>
              <w:bottom w:val="nil"/>
              <w:right w:val="nil"/>
            </w:tcBorders>
          </w:tcPr>
          <w:p w:rsidR="005875D2" w:rsidRPr="005875D2" w:rsidRDefault="005875D2" w:rsidP="005F01BB">
            <w:pPr>
              <w:widowControl w:val="0"/>
              <w:tabs>
                <w:tab w:val="left" w:pos="566"/>
                <w:tab w:val="left" w:pos="2267"/>
              </w:tabs>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varovanje arheoloških ostalin v zemljiščih in v prostoru kot vira človekove preteklosti in kot sredstva za arheološko, zgodovinsko in znanstveno proučevanje;</w:t>
            </w:r>
          </w:p>
          <w:p w:rsidR="005875D2" w:rsidRPr="005875D2" w:rsidRDefault="005875D2" w:rsidP="005875D2">
            <w:pPr>
              <w:numPr>
                <w:ilvl w:val="0"/>
                <w:numId w:val="5"/>
              </w:numPr>
              <w:jc w:val="both"/>
              <w:rPr>
                <w:rFonts w:cs="Times New Roman"/>
                <w:szCs w:val="24"/>
              </w:rPr>
            </w:pPr>
            <w:r w:rsidRPr="005875D2">
              <w:rPr>
                <w:rFonts w:cs="Times New Roman"/>
                <w:szCs w:val="24"/>
              </w:rPr>
              <w:t>zemljišča se ohranjajo v obstoječem stanju, z gozdom se gospodari na tradicionalni način, na območju gomil je prepovedana gradnja novih gozdnih cest in vlak, na območju gomil je  prepovedano izkopavanje panjev in skal;</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 xml:space="preserve">v zemljišča se posega le izjemoma in sicer v procesu znanstvenega proučevanja ali v primeru druge javne koristi, če so izčrpane vse druge možnosti umestitve objektov javnega interesa. V takem primeru je treba zagotoviti predhodno arheološko raziskavo; </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prepovedano je nepooblaščenim osebam uporabljati iskalce kovin in pobirati arheološke najdbe;</w:t>
            </w:r>
          </w:p>
          <w:p w:rsidR="005875D2" w:rsidRPr="005875D2" w:rsidRDefault="005875D2" w:rsidP="005875D2">
            <w:pPr>
              <w:numPr>
                <w:ilvl w:val="0"/>
                <w:numId w:val="5"/>
              </w:numPr>
              <w:autoSpaceDE w:val="0"/>
              <w:autoSpaceDN w:val="0"/>
              <w:jc w:val="both"/>
              <w:rPr>
                <w:rFonts w:cs="Times New Roman"/>
                <w:szCs w:val="24"/>
              </w:rPr>
            </w:pPr>
            <w:r w:rsidRPr="005875D2">
              <w:rPr>
                <w:rFonts w:cs="Times New Roman"/>
                <w:szCs w:val="24"/>
              </w:rPr>
              <w:t>v primeru odkritja kvalitetno ohranjenih in za širši prostor kulturno izpovednih ostalin, je le-te potrebno prezentirati »in situ« in jih primerno vključiti v okolje ter v turistično promocijo kraja.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Merilo:</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1:2880</w:t>
            </w:r>
          </w:p>
        </w:tc>
      </w:tr>
    </w:tbl>
    <w:p w:rsidR="005875D2" w:rsidRDefault="005875D2" w:rsidP="005875D2">
      <w:pPr>
        <w:pStyle w:val="Naslov1"/>
        <w:ind w:left="360"/>
        <w:jc w:val="center"/>
        <w:rPr>
          <w:rFonts w:ascii="Times New Roman" w:hAnsi="Times New Roman" w:cs="Times New Roman"/>
        </w:rPr>
      </w:pPr>
      <w:bookmarkStart w:id="19" w:name="_Toc449093085"/>
    </w:p>
    <w:p w:rsidR="005875D2" w:rsidRDefault="005875D2" w:rsidP="005875D2">
      <w:pPr>
        <w:pStyle w:val="Naslov1"/>
        <w:ind w:left="360"/>
        <w:jc w:val="center"/>
        <w:rPr>
          <w:rFonts w:ascii="Times New Roman" w:hAnsi="Times New Roman" w:cs="Times New Roman"/>
        </w:rPr>
      </w:pPr>
    </w:p>
    <w:p w:rsidR="005875D2" w:rsidRPr="005875D2" w:rsidRDefault="008C5292" w:rsidP="008C5292">
      <w:pPr>
        <w:pStyle w:val="Naslov1"/>
        <w:jc w:val="center"/>
        <w:rPr>
          <w:rFonts w:ascii="Times New Roman" w:hAnsi="Times New Roman" w:cs="Times New Roman"/>
        </w:rPr>
      </w:pPr>
      <w:r>
        <w:rPr>
          <w:rFonts w:ascii="Times New Roman" w:hAnsi="Times New Roman" w:cs="Times New Roman"/>
        </w:rPr>
        <w:t>B</w:t>
      </w:r>
      <w:r w:rsidR="005875D2">
        <w:rPr>
          <w:rFonts w:ascii="Times New Roman" w:hAnsi="Times New Roman" w:cs="Times New Roman"/>
        </w:rPr>
        <w:t xml:space="preserve">) </w:t>
      </w:r>
      <w:r w:rsidR="005875D2" w:rsidRPr="005875D2">
        <w:rPr>
          <w:rFonts w:ascii="Times New Roman" w:hAnsi="Times New Roman" w:cs="Times New Roman"/>
        </w:rPr>
        <w:t>Stavbe</w:t>
      </w:r>
      <w:bookmarkEnd w:id="19"/>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04"/>
      </w:tblGrid>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 xml:space="preserve">EŠD: </w:t>
            </w:r>
          </w:p>
        </w:tc>
        <w:tc>
          <w:tcPr>
            <w:tcW w:w="6804"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3050</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04"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0" w:name="_Toc449093086"/>
            <w:r w:rsidRPr="005875D2">
              <w:rPr>
                <w:rFonts w:ascii="Times New Roman" w:hAnsi="Times New Roman" w:cs="Times New Roman"/>
                <w:b/>
                <w:bCs/>
              </w:rPr>
              <w:t>Jurovski Dol – Cerkev sv. Jurija</w:t>
            </w:r>
            <w:bookmarkEnd w:id="20"/>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 xml:space="preserve"> severni del </w:t>
            </w:r>
            <w:proofErr w:type="spellStart"/>
            <w:r w:rsidRPr="005875D2">
              <w:rPr>
                <w:rFonts w:cs="Times New Roman"/>
                <w:szCs w:val="24"/>
              </w:rPr>
              <w:t>parc</w:t>
            </w:r>
            <w:proofErr w:type="spellEnd"/>
            <w:r w:rsidRPr="005875D2">
              <w:rPr>
                <w:rFonts w:cs="Times New Roman"/>
                <w:szCs w:val="24"/>
              </w:rPr>
              <w:t xml:space="preserve">. št. 1/3, 1/4  </w:t>
            </w:r>
            <w:proofErr w:type="spellStart"/>
            <w:r w:rsidRPr="005875D2">
              <w:rPr>
                <w:rFonts w:cs="Times New Roman"/>
                <w:szCs w:val="24"/>
              </w:rPr>
              <w:t>k.o</w:t>
            </w:r>
            <w:proofErr w:type="spellEnd"/>
            <w:r w:rsidRPr="005875D2">
              <w:rPr>
                <w:rFonts w:cs="Times New Roman"/>
                <w:szCs w:val="24"/>
              </w:rPr>
              <w:t>. Jurovski dol</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jc w:val="both"/>
              <w:rPr>
                <w:rFonts w:cs="Times New Roman"/>
                <w:snapToGrid w:val="0"/>
                <w:szCs w:val="24"/>
              </w:rPr>
            </w:pPr>
            <w:r w:rsidRPr="005875D2">
              <w:rPr>
                <w:rFonts w:cs="Times New Roman"/>
                <w:snapToGrid w:val="0"/>
                <w:szCs w:val="24"/>
              </w:rPr>
              <w:t>Utemeljitev</w:t>
            </w:r>
          </w:p>
          <w:p w:rsidR="005875D2" w:rsidRPr="005875D2" w:rsidRDefault="005875D2" w:rsidP="005F01BB">
            <w:pPr>
              <w:jc w:val="both"/>
              <w:rPr>
                <w:rFonts w:cs="Times New Roman"/>
                <w:szCs w:val="24"/>
              </w:rPr>
            </w:pPr>
            <w:r w:rsidRPr="005875D2">
              <w:rPr>
                <w:rFonts w:cs="Times New Roman"/>
                <w:snapToGrid w:val="0"/>
                <w:szCs w:val="24"/>
              </w:rPr>
              <w:t>razglasitve:</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Cerkev sv. Jurija se nahaja sredi vaškega jedra. Njeno tlorisno zasnovo sestavlja pravokotna cerkvena ladja, ki ima na zahodu mogočen zvonik. Ob zvoniku je prizidano stopnišče. Severno in južno stran ladje členita baročni kapeli s polkrožnim zaključkom, na vzhodu jo zaključuje </w:t>
            </w:r>
            <w:proofErr w:type="spellStart"/>
            <w:r w:rsidRPr="005875D2">
              <w:rPr>
                <w:rFonts w:cs="Times New Roman"/>
                <w:szCs w:val="24"/>
              </w:rPr>
              <w:t>petosminsko</w:t>
            </w:r>
            <w:proofErr w:type="spellEnd"/>
            <w:r w:rsidRPr="005875D2">
              <w:rPr>
                <w:rFonts w:cs="Times New Roman"/>
                <w:szCs w:val="24"/>
              </w:rPr>
              <w:t xml:space="preserve"> oblikovan gotski prezbiterij z zakristijo na jugu. Strehe so dvokapne. Zvonik s čebulasto streho je sestavljen iz gotsko renesančnega spodnjega dela in klasicističnega zgornjega dela, ki sta ločena z žlebljenim profilom. Členi ga zelo kvaliteten in pri nas redek renesančni portal z letnico 1532. Desno zgoraj od portala se nahaja letnica 1528, tik pod žlebljenim profilom pa še letnica 1541. V osi portala je simbol rodbine </w:t>
            </w:r>
            <w:proofErr w:type="spellStart"/>
            <w:r w:rsidRPr="005875D2">
              <w:rPr>
                <w:rFonts w:cs="Times New Roman"/>
                <w:szCs w:val="24"/>
              </w:rPr>
              <w:t>Trauttmannsdorf</w:t>
            </w:r>
            <w:proofErr w:type="spellEnd"/>
            <w:r w:rsidRPr="005875D2">
              <w:rPr>
                <w:rFonts w:cs="Times New Roman"/>
                <w:szCs w:val="24"/>
              </w:rPr>
              <w:t xml:space="preserve"> (rozeta), levo od njega pa vinska trta – simbol sv. Jurija, zaščitnika kmetov, vinogradnikov in viničarjev. Zgornji del zvonika ima polkrožno zaključene dekorirane line, fasade so členjene s pilastri. Fasade obeh kapel so poudarjene z </w:t>
            </w:r>
            <w:proofErr w:type="spellStart"/>
            <w:r w:rsidRPr="005875D2">
              <w:rPr>
                <w:rFonts w:cs="Times New Roman"/>
                <w:szCs w:val="24"/>
              </w:rPr>
              <w:t>lizenami</w:t>
            </w:r>
            <w:proofErr w:type="spellEnd"/>
            <w:r w:rsidRPr="005875D2">
              <w:rPr>
                <w:rFonts w:cs="Times New Roman"/>
                <w:szCs w:val="24"/>
              </w:rPr>
              <w:t>.</w:t>
            </w:r>
          </w:p>
          <w:p w:rsidR="005875D2" w:rsidRPr="005875D2" w:rsidRDefault="005875D2" w:rsidP="005F01BB">
            <w:pPr>
              <w:jc w:val="both"/>
              <w:rPr>
                <w:rFonts w:cs="Times New Roman"/>
                <w:szCs w:val="24"/>
              </w:rPr>
            </w:pPr>
            <w:r w:rsidRPr="005875D2">
              <w:rPr>
                <w:rFonts w:cs="Times New Roman"/>
                <w:szCs w:val="24"/>
              </w:rPr>
              <w:t xml:space="preserve">V notranjščini pokriva ladjo mrežasti obok, pod zvonikom in pevsko </w:t>
            </w:r>
            <w:proofErr w:type="spellStart"/>
            <w:r w:rsidRPr="005875D2">
              <w:rPr>
                <w:rFonts w:cs="Times New Roman"/>
                <w:szCs w:val="24"/>
              </w:rPr>
              <w:t>emporo</w:t>
            </w:r>
            <w:proofErr w:type="spellEnd"/>
            <w:r w:rsidRPr="005875D2">
              <w:rPr>
                <w:rFonts w:cs="Times New Roman"/>
                <w:szCs w:val="24"/>
              </w:rPr>
              <w:t xml:space="preserve">, slonečo na štirih poznogotskih okroglih stebrih, ki prehajajo v šilasti lok, pa je obok križno rebrasti. V obeh kapelah sta oltarja s kvalitetnimi plastikami Jožefa </w:t>
            </w:r>
            <w:proofErr w:type="spellStart"/>
            <w:r w:rsidRPr="005875D2">
              <w:rPr>
                <w:rFonts w:cs="Times New Roman"/>
                <w:szCs w:val="24"/>
              </w:rPr>
              <w:t>Holzingerja</w:t>
            </w:r>
            <w:proofErr w:type="spellEnd"/>
            <w:r w:rsidRPr="005875D2">
              <w:rPr>
                <w:rFonts w:cs="Times New Roman"/>
                <w:szCs w:val="24"/>
              </w:rPr>
              <w:t xml:space="preserve"> iz okoli leta 1760.</w:t>
            </w:r>
          </w:p>
          <w:p w:rsidR="005875D2" w:rsidRPr="005875D2" w:rsidRDefault="005875D2" w:rsidP="005F01BB">
            <w:pPr>
              <w:jc w:val="both"/>
              <w:rPr>
                <w:rFonts w:cs="Times New Roman"/>
                <w:szCs w:val="24"/>
              </w:rPr>
            </w:pPr>
            <w:r w:rsidRPr="005875D2">
              <w:rPr>
                <w:rFonts w:cs="Times New Roman"/>
                <w:szCs w:val="24"/>
              </w:rPr>
              <w:t xml:space="preserve">Cerkev sv. Jurija se prvič omenja leta 1388. Od te stavbe ni ničesar ohranjenega. Sedanja cerkev je v osnovi iz leta 1528-32. Konec 17. ali v začetku 18. stoletja so ji prizidali severno kapelo. Med leti </w:t>
            </w:r>
            <w:smartTag w:uri="urn:schemas-microsoft-com:office:smarttags" w:element="metricconverter">
              <w:smartTagPr>
                <w:attr w:name="ProductID" w:val="1760 in"/>
              </w:smartTagPr>
              <w:r w:rsidRPr="005875D2">
                <w:rPr>
                  <w:rFonts w:cs="Times New Roman"/>
                  <w:szCs w:val="24"/>
                </w:rPr>
                <w:t>1760 in</w:t>
              </w:r>
            </w:smartTag>
            <w:r w:rsidRPr="005875D2">
              <w:rPr>
                <w:rFonts w:cs="Times New Roman"/>
                <w:szCs w:val="24"/>
              </w:rPr>
              <w:t xml:space="preserve"> 1773 so prenovili in povišali zvonik, prizidali južno kapelo in povečali zakristijo.</w:t>
            </w:r>
          </w:p>
          <w:p w:rsidR="005875D2" w:rsidRPr="005875D2" w:rsidRDefault="005875D2" w:rsidP="005F01BB">
            <w:pPr>
              <w:jc w:val="both"/>
              <w:rPr>
                <w:rFonts w:cs="Times New Roman"/>
                <w:szCs w:val="24"/>
              </w:rPr>
            </w:pPr>
            <w:r w:rsidRPr="005875D2">
              <w:rPr>
                <w:rFonts w:cs="Times New Roman"/>
                <w:szCs w:val="24"/>
              </w:rPr>
              <w:t>Cerkev sv. Jurija predstavlja kakovosten primer raščene cerkvene arhitekture, ki je posledica večstoletne postopne organske rasti, katera jo je pripeljala do izjemno harmonične, čeprav stilsko raznolike celote, katero dodatno zaokroža bogata notranjščina.</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04" w:type="dxa"/>
            <w:tcBorders>
              <w:top w:val="nil"/>
              <w:left w:val="nil"/>
              <w:bottom w:val="nil"/>
              <w:right w:val="nil"/>
            </w:tcBorders>
          </w:tcPr>
          <w:p w:rsidR="005875D2" w:rsidRPr="005875D2" w:rsidRDefault="005875D2" w:rsidP="005F01BB">
            <w:pPr>
              <w:widowControl w:val="0"/>
              <w:tabs>
                <w:tab w:val="left" w:pos="566"/>
                <w:tab w:val="left" w:pos="2267"/>
              </w:tabs>
              <w:ind w:left="360"/>
              <w:jc w:val="both"/>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varovanje kulturnih, arhitekturnih, umetniških in ambientalnih vrednot v celoti, njihovi izvirnosti in neokrnjenosti ter varovanje vseh vedut na spomenik;</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podrejanje vsake rabe in vseh posegov v spomenik ohranjanju in varovanju spomeniških lastnosti;</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strokovno vzdrževanje in obnavljanje vseh neokrnjenih prvin arhitekture po načelu ohranjanja izvirne tlorisne zasnove, gabaritov, lege, pojavnosti, materialov, opreme, poslikav in okrasja;</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lastRenderedPageBreak/>
              <w:t>posebno varovanje zunanjščine, gradbene substance, posameznih arhitekturnih detajlov, tlorisne zasnove, likovnih detajlov, stavbnega pohištva in notranje opreme;</w:t>
            </w:r>
          </w:p>
          <w:p w:rsidR="005875D2" w:rsidRPr="005875D2" w:rsidRDefault="005875D2" w:rsidP="005875D2">
            <w:pPr>
              <w:numPr>
                <w:ilvl w:val="0"/>
                <w:numId w:val="3"/>
              </w:numPr>
              <w:autoSpaceDE w:val="0"/>
              <w:autoSpaceDN w:val="0"/>
              <w:jc w:val="both"/>
              <w:rPr>
                <w:rFonts w:cs="Times New Roman"/>
                <w:szCs w:val="24"/>
              </w:rPr>
            </w:pPr>
            <w:r w:rsidRPr="005875D2">
              <w:rPr>
                <w:rFonts w:cs="Times New Roman"/>
                <w:szCs w:val="24"/>
              </w:rPr>
              <w:t>omogočanje predstavitve celote in posameznih zaščitenih elementov ter dostopnost javnosti v meri, ki ne ogroža varovanje spomenika in ne moti v njem (ob njem) odvijajoče se dejavnosti;</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na spomenik in ob njem je prepovedano postavljati nosilce infrastrukture in reklam;</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pri kakršnih koli posegih v tla objekta ali teren ob njegovi zunanjščini, so obvezne predhodne arheološke raziskave.</w:t>
            </w:r>
          </w:p>
          <w:p w:rsidR="005875D2" w:rsidRPr="005875D2" w:rsidRDefault="005875D2" w:rsidP="005F01BB">
            <w:pPr>
              <w:ind w:left="360"/>
              <w:jc w:val="both"/>
              <w:rPr>
                <w:rFonts w:cs="Times New Roman"/>
                <w:snapToGrid w:val="0"/>
                <w:color w:val="000000"/>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lastRenderedPageBreak/>
              <w:t>Opis vplivnega</w:t>
            </w:r>
          </w:p>
          <w:p w:rsidR="005875D2" w:rsidRPr="005875D2" w:rsidRDefault="005875D2" w:rsidP="005F01BB">
            <w:pPr>
              <w:rPr>
                <w:rFonts w:cs="Times New Roman"/>
                <w:snapToGrid w:val="0"/>
                <w:color w:val="000000"/>
                <w:szCs w:val="24"/>
              </w:rPr>
            </w:pPr>
            <w:r w:rsidRPr="005875D2">
              <w:rPr>
                <w:rFonts w:cs="Times New Roman"/>
                <w:snapToGrid w:val="0"/>
                <w:color w:val="000000"/>
                <w:szCs w:val="24"/>
              </w:rPr>
              <w:t>območja</w:t>
            </w:r>
          </w:p>
          <w:p w:rsidR="005875D2" w:rsidRPr="005875D2" w:rsidRDefault="005875D2" w:rsidP="005F01BB">
            <w:pPr>
              <w:rPr>
                <w:rFonts w:cs="Times New Roman"/>
                <w:szCs w:val="24"/>
              </w:rPr>
            </w:pPr>
            <w:r w:rsidRPr="005875D2">
              <w:rPr>
                <w:rFonts w:cs="Times New Roman"/>
                <w:snapToGrid w:val="0"/>
                <w:color w:val="000000"/>
                <w:szCs w:val="24"/>
              </w:rPr>
              <w:t>spomenika:</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Cerkev s pokopališčem je sestavni del zavarovanega vaškega jedra. Varuje se tudi veduta cerkve in prostor okoli nje.</w:t>
            </w:r>
          </w:p>
          <w:p w:rsidR="005875D2" w:rsidRPr="005875D2" w:rsidRDefault="005875D2" w:rsidP="005F01BB">
            <w:pPr>
              <w:rPr>
                <w:rFonts w:cs="Times New Roman"/>
                <w:szCs w:val="24"/>
              </w:rPr>
            </w:pPr>
            <w:r w:rsidRPr="005875D2">
              <w:rPr>
                <w:rFonts w:cs="Times New Roman"/>
                <w:szCs w:val="24"/>
              </w:rPr>
              <w:t>Vplivno območje okoli cerkve so vse stavbe in prostor okoli cerkve, ki vplivajo na dominantni položaj cerkve v vaškem jedru.</w:t>
            </w:r>
          </w:p>
          <w:p w:rsidR="005875D2" w:rsidRPr="005875D2" w:rsidRDefault="005875D2" w:rsidP="005F01BB">
            <w:pPr>
              <w:rPr>
                <w:rFonts w:cs="Times New Roman"/>
                <w:szCs w:val="24"/>
              </w:rPr>
            </w:pPr>
          </w:p>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*106, *109, *2/1, *2/3, *3, *7, *90, *98, 1/1, 1/2, 1/3, 1/4, 1/5, 17/1, 17/2, 17/3, 17/4, 17/5, 18, 19/1, 19/2, 19/9, 3/1,  3/2,  3/3, 367/1, 367/2, 369/1, 369/4, 369/5, 369/7, 369/8, 371/10, 371/11, 371/12, 371/3, 371/5, 371/7, 371/9, J del 372/1, 372/2, 373/2, 374, 376/1, 376/2, 378/1, 378/2, 379/2, 379/3, 379/4, 379/5,</w:t>
            </w:r>
          </w:p>
          <w:p w:rsidR="005875D2" w:rsidRPr="005875D2" w:rsidRDefault="005875D2" w:rsidP="005F01BB">
            <w:pPr>
              <w:rPr>
                <w:rFonts w:cs="Times New Roman"/>
                <w:szCs w:val="24"/>
              </w:rPr>
            </w:pPr>
            <w:r w:rsidRPr="005875D2">
              <w:rPr>
                <w:rFonts w:cs="Times New Roman"/>
                <w:color w:val="000000"/>
                <w:szCs w:val="24"/>
              </w:rPr>
              <w:t xml:space="preserve">380/1, 380/2, 380/3, 380/4, 381, 382/2, 384/4, 383/1, 4/1, 5/1, 5/2, 5/3, 5/4, V del 528/1, S del 538, S del 541/. J del 543/1, 543/10, 543/11, 543/8, 543/, 543/9  </w:t>
            </w:r>
            <w:proofErr w:type="spellStart"/>
            <w:r w:rsidRPr="005875D2">
              <w:rPr>
                <w:rFonts w:cs="Times New Roman"/>
                <w:color w:val="000000"/>
                <w:szCs w:val="24"/>
              </w:rPr>
              <w:t>k.o</w:t>
            </w:r>
            <w:proofErr w:type="spellEnd"/>
            <w:r w:rsidRPr="005875D2">
              <w:rPr>
                <w:rFonts w:cs="Times New Roman"/>
                <w:color w:val="000000"/>
                <w:szCs w:val="24"/>
              </w:rPr>
              <w:t>. Jurovski dol</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napToGrid w:val="0"/>
                <w:szCs w:val="24"/>
              </w:rPr>
            </w:pPr>
            <w:r w:rsidRPr="005875D2">
              <w:rPr>
                <w:rFonts w:cs="Times New Roman"/>
                <w:snapToGrid w:val="0"/>
                <w:szCs w:val="24"/>
              </w:rPr>
              <w:t>Opis varstvenega režima za vplivno območje:</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Niso dovoljeni posegi, ki bi s svojo velikostjo, obliko ali funkcijo lahko negativno vlivali na zaščitene funkcionalne in vizualne elemente spomenika. Vsi dovoljeni posegi v vplivnem območju se morajo podrejati veduti spomenika.</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 2880</w:t>
            </w:r>
          </w:p>
        </w:tc>
      </w:tr>
    </w:tbl>
    <w:p w:rsidR="005875D2" w:rsidRPr="005875D2" w:rsidRDefault="005875D2" w:rsidP="005875D2">
      <w:pPr>
        <w:rPr>
          <w:rFonts w:cs="Times New Roman"/>
          <w:szCs w:val="24"/>
        </w:rPr>
      </w:pPr>
    </w:p>
    <w:p w:rsidR="005875D2" w:rsidRPr="005875D2" w:rsidRDefault="005875D2" w:rsidP="005875D2">
      <w:pPr>
        <w:rPr>
          <w:rFonts w:cs="Times New Roman"/>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25519</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1" w:name="_Toc449093087"/>
            <w:r w:rsidRPr="005875D2">
              <w:rPr>
                <w:rFonts w:ascii="Times New Roman" w:hAnsi="Times New Roman" w:cs="Times New Roman"/>
                <w:b/>
                <w:bCs/>
              </w:rPr>
              <w:t>Malna – Domačija Rotar</w:t>
            </w:r>
            <w:bookmarkEnd w:id="21"/>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Ulica: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Malna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Hišna številka: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43</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xml:space="preserve">. *1/1, *1/3, 55/1, 55/2, 55/3  </w:t>
            </w:r>
            <w:proofErr w:type="spellStart"/>
            <w:r w:rsidRPr="005875D2">
              <w:rPr>
                <w:rFonts w:cs="Times New Roman"/>
                <w:color w:val="000000"/>
                <w:szCs w:val="24"/>
              </w:rPr>
              <w:t>k.o</w:t>
            </w:r>
            <w:proofErr w:type="spellEnd"/>
            <w:r w:rsidRPr="005875D2">
              <w:rPr>
                <w:rFonts w:cs="Times New Roman"/>
                <w:color w:val="000000"/>
                <w:szCs w:val="24"/>
              </w:rPr>
              <w:t>. Malna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Domačijo, ki stoji na severnem robu razloženega naselja sestavljajo hiša in dvoje gospodarskih  poslopij s strmimi, dvokapnimi opečnimi strehami. Hiša je visokopritlična, podkletena in ima </w:t>
            </w:r>
            <w:proofErr w:type="spellStart"/>
            <w:r w:rsidRPr="005875D2">
              <w:rPr>
                <w:rFonts w:cs="Times New Roman"/>
                <w:color w:val="000000"/>
                <w:szCs w:val="24"/>
              </w:rPr>
              <w:t>šestosno</w:t>
            </w:r>
            <w:proofErr w:type="spellEnd"/>
            <w:r w:rsidRPr="005875D2">
              <w:rPr>
                <w:rFonts w:cs="Times New Roman"/>
                <w:color w:val="000000"/>
                <w:szCs w:val="24"/>
              </w:rPr>
              <w:t xml:space="preserve"> vhodno in </w:t>
            </w:r>
            <w:proofErr w:type="spellStart"/>
            <w:r w:rsidRPr="005875D2">
              <w:rPr>
                <w:rFonts w:cs="Times New Roman"/>
                <w:color w:val="000000"/>
                <w:szCs w:val="24"/>
              </w:rPr>
              <w:t>troosno</w:t>
            </w:r>
            <w:proofErr w:type="spellEnd"/>
            <w:r w:rsidRPr="005875D2">
              <w:rPr>
                <w:rFonts w:cs="Times New Roman"/>
                <w:color w:val="000000"/>
                <w:szCs w:val="24"/>
              </w:rPr>
              <w:t xml:space="preserve"> zatrepno - cestno  fasado. Vhod v hišo vodi preko kamnitega  stopnišča. Vhodni portal je kamnit, polkrožno zaključen, z letnico 1812 na temenskem sklepniku. Vrata so dvokrilna, </w:t>
            </w:r>
            <w:proofErr w:type="spellStart"/>
            <w:r w:rsidRPr="005875D2">
              <w:rPr>
                <w:rFonts w:cs="Times New Roman"/>
                <w:color w:val="000000"/>
                <w:szCs w:val="24"/>
              </w:rPr>
              <w:t>kasetirana</w:t>
            </w:r>
            <w:proofErr w:type="spellEnd"/>
            <w:r w:rsidRPr="005875D2">
              <w:rPr>
                <w:rFonts w:cs="Times New Roman"/>
                <w:color w:val="000000"/>
                <w:szCs w:val="24"/>
              </w:rPr>
              <w:t xml:space="preserve"> z </w:t>
            </w:r>
            <w:r w:rsidRPr="005875D2">
              <w:rPr>
                <w:rFonts w:cs="Times New Roman"/>
                <w:color w:val="000000"/>
                <w:szCs w:val="24"/>
              </w:rPr>
              <w:lastRenderedPageBreak/>
              <w:t xml:space="preserve">ohranjenim okovjem, medeninasto kljuko ter medeninastimi držali na vratnih krilih.  Okna so dvojna, dvokrilna, deljena s prečkami ter opremljena z oblikovanimi kovanimi mrežami in lesenimi polkni. Ometi na hiši so že precej  poškodovani. Delno je še ohranjena fasadna </w:t>
            </w:r>
            <w:proofErr w:type="spellStart"/>
            <w:r w:rsidRPr="005875D2">
              <w:rPr>
                <w:rFonts w:cs="Times New Roman"/>
                <w:color w:val="000000"/>
                <w:szCs w:val="24"/>
              </w:rPr>
              <w:t>profilacija</w:t>
            </w:r>
            <w:proofErr w:type="spellEnd"/>
            <w:r w:rsidRPr="005875D2">
              <w:rPr>
                <w:rFonts w:cs="Times New Roman"/>
                <w:color w:val="000000"/>
                <w:szCs w:val="24"/>
              </w:rPr>
              <w:t xml:space="preserve">: okenske obrobe, s pravokotniki poudarjene okenske osi ter sledi okenskih obrob s cofki in zavesico na karnisi. V obeh čelnih fasadah so v strešnih zatrepih ohranjeni profilirani </w:t>
            </w:r>
            <w:proofErr w:type="spellStart"/>
            <w:r w:rsidRPr="005875D2">
              <w:rPr>
                <w:rFonts w:cs="Times New Roman"/>
                <w:color w:val="000000"/>
                <w:szCs w:val="24"/>
              </w:rPr>
              <w:t>maltasti</w:t>
            </w:r>
            <w:proofErr w:type="spellEnd"/>
            <w:r w:rsidRPr="005875D2">
              <w:rPr>
                <w:rFonts w:cs="Times New Roman"/>
                <w:color w:val="000000"/>
                <w:szCs w:val="24"/>
              </w:rPr>
              <w:t xml:space="preserve"> okviri, namenjeni poslikavi. Notranjščina hiše z ohranjenim stavbnim pohištvom ima tipično razporeditev: v centralni osi sta obokana veža in kuhinja, levo in desno pa sobe in shramba. V »hiši« s poudarjeno rozeto na stropu stoji krušna peč. Hiša je podkletena z obokano kletjo. Kletni portal je kamnit, polkrožno zaključen in opremljen z dvokrilnimi vrati, oblikovanimi na ribjo kost</w:t>
            </w:r>
          </w:p>
          <w:p w:rsidR="005875D2" w:rsidRPr="005875D2" w:rsidRDefault="005875D2" w:rsidP="005F01BB">
            <w:pPr>
              <w:jc w:val="both"/>
              <w:rPr>
                <w:rFonts w:cs="Times New Roman"/>
                <w:color w:val="000000"/>
                <w:szCs w:val="24"/>
              </w:rPr>
            </w:pPr>
            <w:r w:rsidRPr="005875D2">
              <w:rPr>
                <w:rFonts w:cs="Times New Roman"/>
                <w:color w:val="000000"/>
                <w:szCs w:val="24"/>
              </w:rPr>
              <w:t xml:space="preserve">Večje zidano gospodarsko poslopje s hlevi in senikom je v zatrepu </w:t>
            </w:r>
            <w:proofErr w:type="spellStart"/>
            <w:r w:rsidRPr="005875D2">
              <w:rPr>
                <w:rFonts w:cs="Times New Roman"/>
                <w:color w:val="000000"/>
                <w:szCs w:val="24"/>
              </w:rPr>
              <w:t>prevotleno</w:t>
            </w:r>
            <w:proofErr w:type="spellEnd"/>
            <w:r w:rsidRPr="005875D2">
              <w:rPr>
                <w:rFonts w:cs="Times New Roman"/>
                <w:color w:val="000000"/>
                <w:szCs w:val="24"/>
              </w:rPr>
              <w:t xml:space="preserve"> z opečnimi prezračevalnimi mrežami, drugo poslopje z zidano vinsko kletjo ima leseno zgornjo etažo kjer stoji preša. </w:t>
            </w:r>
          </w:p>
          <w:p w:rsidR="005875D2" w:rsidRPr="005875D2" w:rsidRDefault="005875D2" w:rsidP="005F01BB">
            <w:pPr>
              <w:jc w:val="both"/>
              <w:rPr>
                <w:rFonts w:cs="Times New Roman"/>
                <w:color w:val="000000"/>
                <w:szCs w:val="24"/>
              </w:rPr>
            </w:pPr>
            <w:r w:rsidRPr="005875D2">
              <w:rPr>
                <w:rFonts w:cs="Times New Roman"/>
                <w:color w:val="000000"/>
                <w:szCs w:val="24"/>
              </w:rPr>
              <w:t xml:space="preserve">Domačija je primer ohranjenih poslopij nekoč bogatejše kmetije. Hiša izvira iz začetkov 19. stoletja..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hiše in gospodarskih poslopij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stavbe,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25525</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2" w:name="_Toc449093088"/>
            <w:r w:rsidRPr="005875D2">
              <w:rPr>
                <w:rFonts w:ascii="Times New Roman" w:hAnsi="Times New Roman" w:cs="Times New Roman"/>
                <w:b/>
                <w:bCs/>
              </w:rPr>
              <w:t xml:space="preserve">Srednji Gasteraj – Domačija </w:t>
            </w:r>
            <w:proofErr w:type="spellStart"/>
            <w:r w:rsidRPr="005875D2">
              <w:rPr>
                <w:rFonts w:ascii="Times New Roman" w:hAnsi="Times New Roman" w:cs="Times New Roman"/>
                <w:b/>
                <w:bCs/>
              </w:rPr>
              <w:t>Šenekar</w:t>
            </w:r>
            <w:bookmarkEnd w:id="22"/>
            <w:proofErr w:type="spellEnd"/>
            <w:r w:rsidRPr="005875D2">
              <w:rPr>
                <w:rFonts w:ascii="Times New Roman" w:hAnsi="Times New Roman" w:cs="Times New Roman"/>
                <w:b/>
                <w:bCs/>
              </w:rPr>
              <w:t xml:space="preserv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Ulica: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Srednji Gasteraj</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Hišna številka: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14</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xml:space="preserve">. *15, *16/2, jugozahodni del  192/3, 50, 53/1, J del 61/3, 62/1, 62/2, 62/3, zahodni del 62/4 </w:t>
            </w:r>
            <w:proofErr w:type="spellStart"/>
            <w:r w:rsidRPr="005875D2">
              <w:rPr>
                <w:rFonts w:cs="Times New Roman"/>
                <w:color w:val="000000"/>
                <w:szCs w:val="24"/>
              </w:rPr>
              <w:t>k.o</w:t>
            </w:r>
            <w:proofErr w:type="spellEnd"/>
            <w:r w:rsidRPr="005875D2">
              <w:rPr>
                <w:rFonts w:cs="Times New Roman"/>
                <w:color w:val="000000"/>
                <w:szCs w:val="24"/>
              </w:rPr>
              <w:t xml:space="preserve">. Srednji Gasteraj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Hiša z gospodarskimi poslopji </w:t>
            </w:r>
            <w:proofErr w:type="spellStart"/>
            <w:r w:rsidRPr="005875D2">
              <w:rPr>
                <w:rFonts w:cs="Times New Roman"/>
                <w:color w:val="000000"/>
                <w:szCs w:val="24"/>
              </w:rPr>
              <w:t>Šenekarjeve</w:t>
            </w:r>
            <w:proofErr w:type="spellEnd"/>
            <w:r w:rsidRPr="005875D2">
              <w:rPr>
                <w:rFonts w:cs="Times New Roman"/>
                <w:color w:val="000000"/>
                <w:szCs w:val="24"/>
              </w:rPr>
              <w:t xml:space="preserve"> domačije stoji v severnem delu razloženega naselja. Vsa poslopja pokrivajo strme, dvokapne opečne strehe. Hiša je pritlična, podkletena z sedem osno vhodno </w:t>
            </w:r>
            <w:r w:rsidRPr="005875D2">
              <w:rPr>
                <w:rFonts w:cs="Times New Roman"/>
                <w:color w:val="000000"/>
                <w:szCs w:val="24"/>
              </w:rPr>
              <w:lastRenderedPageBreak/>
              <w:t xml:space="preserve">fasado. Zatrepni fasadi sta </w:t>
            </w:r>
            <w:proofErr w:type="spellStart"/>
            <w:r w:rsidRPr="005875D2">
              <w:rPr>
                <w:rFonts w:cs="Times New Roman"/>
                <w:color w:val="000000"/>
                <w:szCs w:val="24"/>
              </w:rPr>
              <w:t>troosni</w:t>
            </w:r>
            <w:proofErr w:type="spellEnd"/>
            <w:r w:rsidRPr="005875D2">
              <w:rPr>
                <w:rFonts w:cs="Times New Roman"/>
                <w:color w:val="000000"/>
                <w:szCs w:val="24"/>
              </w:rPr>
              <w:t xml:space="preserve">, v čelih sta nameščeni zračni rozeti. Vhod v hišo je v srednji osi skozi kamnit pravokotno zaključen portal z dvokrilnimi </w:t>
            </w:r>
            <w:proofErr w:type="spellStart"/>
            <w:r w:rsidRPr="005875D2">
              <w:rPr>
                <w:rFonts w:cs="Times New Roman"/>
                <w:color w:val="000000"/>
                <w:szCs w:val="24"/>
              </w:rPr>
              <w:t>kasetiranimi</w:t>
            </w:r>
            <w:proofErr w:type="spellEnd"/>
            <w:r w:rsidRPr="005875D2">
              <w:rPr>
                <w:rFonts w:cs="Times New Roman"/>
                <w:color w:val="000000"/>
                <w:szCs w:val="24"/>
              </w:rPr>
              <w:t xml:space="preserve"> vrati, ki so opremljena s starim okovjem in kljuko. Okna so dvojna, dvokrilna, deljena s prečkami ter zaščitena z oblikovanimi kovanimi mrežami. Fasado členi profiliran podstrešni zidec in s pilastri poudarjen vhodni, osrednji del hiše. Notranjščina hiše z ohranjenim stavbnim pohištvom ima tipično razporeditev: v centralni osi sta obokana veža in kuhinja, levo in desno pa sobe in shramba. V bivalni sobi »hiši« z lepo izdelanim lesenim  tramovnim stropom stoji krušna peč, ki z delom sega še v izbo. Hiša je podkletena z obokano kletjo.</w:t>
            </w:r>
          </w:p>
          <w:p w:rsidR="005875D2" w:rsidRPr="005875D2" w:rsidRDefault="005875D2" w:rsidP="005F01BB">
            <w:pPr>
              <w:jc w:val="both"/>
              <w:rPr>
                <w:rFonts w:cs="Times New Roman"/>
                <w:color w:val="000000"/>
                <w:szCs w:val="24"/>
              </w:rPr>
            </w:pPr>
            <w:r w:rsidRPr="005875D2">
              <w:rPr>
                <w:rFonts w:cs="Times New Roman"/>
                <w:color w:val="000000"/>
                <w:szCs w:val="24"/>
              </w:rPr>
              <w:t xml:space="preserve">Večje, zidano dvoetažno gospodarsko poslopje s hlevi in senikom, ki  ima na eni strani odprti hodnik z oblikovanimi stebri je v čelnem zatrepu </w:t>
            </w:r>
            <w:proofErr w:type="spellStart"/>
            <w:r w:rsidRPr="005875D2">
              <w:rPr>
                <w:rFonts w:cs="Times New Roman"/>
                <w:color w:val="000000"/>
                <w:szCs w:val="24"/>
              </w:rPr>
              <w:t>prevotleno</w:t>
            </w:r>
            <w:proofErr w:type="spellEnd"/>
            <w:r w:rsidRPr="005875D2">
              <w:rPr>
                <w:rFonts w:cs="Times New Roman"/>
                <w:color w:val="000000"/>
                <w:szCs w:val="24"/>
              </w:rPr>
              <w:t xml:space="preserve"> z opečnimi mrežami. Manjši gospodarski poslopji, poslopje preše in </w:t>
            </w:r>
            <w:proofErr w:type="spellStart"/>
            <w:r w:rsidRPr="005875D2">
              <w:rPr>
                <w:rFonts w:cs="Times New Roman"/>
                <w:color w:val="000000"/>
                <w:szCs w:val="24"/>
              </w:rPr>
              <w:t>lanišnica</w:t>
            </w:r>
            <w:proofErr w:type="spellEnd"/>
            <w:r w:rsidRPr="005875D2">
              <w:rPr>
                <w:rFonts w:cs="Times New Roman"/>
                <w:color w:val="000000"/>
                <w:szCs w:val="24"/>
              </w:rPr>
              <w:t xml:space="preserve"> sta leseni.   </w:t>
            </w:r>
          </w:p>
          <w:p w:rsidR="005875D2" w:rsidRPr="005875D2" w:rsidRDefault="005875D2" w:rsidP="005F01BB">
            <w:pPr>
              <w:jc w:val="both"/>
              <w:rPr>
                <w:rFonts w:cs="Times New Roman"/>
                <w:color w:val="000000"/>
                <w:szCs w:val="24"/>
              </w:rPr>
            </w:pPr>
            <w:r w:rsidRPr="005875D2">
              <w:rPr>
                <w:rFonts w:cs="Times New Roman"/>
                <w:color w:val="000000"/>
                <w:szCs w:val="24"/>
              </w:rPr>
              <w:t>Hiša z gospodarskimi poslopji je primer v celoti ohranjene  večje domačije iz 19. stoletja.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hiše in gospodarskih poslopij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stavbe,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8C5292" w:rsidRPr="005875D2" w:rsidTr="005875D2">
        <w:trPr>
          <w:trHeight w:val="276"/>
        </w:trPr>
        <w:tc>
          <w:tcPr>
            <w:tcW w:w="2268" w:type="dxa"/>
            <w:tcBorders>
              <w:top w:val="nil"/>
              <w:left w:val="nil"/>
              <w:bottom w:val="nil"/>
              <w:right w:val="nil"/>
            </w:tcBorders>
          </w:tcPr>
          <w:p w:rsidR="008C5292" w:rsidRPr="005875D2" w:rsidRDefault="008C5292" w:rsidP="005F01BB">
            <w:pPr>
              <w:rPr>
                <w:rFonts w:cs="Times New Roman"/>
                <w:snapToGrid w:val="0"/>
                <w:color w:val="000000"/>
                <w:szCs w:val="24"/>
              </w:rPr>
            </w:pPr>
          </w:p>
        </w:tc>
        <w:tc>
          <w:tcPr>
            <w:tcW w:w="6840" w:type="dxa"/>
            <w:tcBorders>
              <w:top w:val="nil"/>
              <w:left w:val="nil"/>
              <w:bottom w:val="nil"/>
              <w:right w:val="nil"/>
            </w:tcBorders>
          </w:tcPr>
          <w:p w:rsidR="008C5292" w:rsidRPr="005875D2" w:rsidRDefault="008C5292" w:rsidP="005F01BB">
            <w:pPr>
              <w:rPr>
                <w:rFonts w:cs="Times New Roman"/>
                <w:szCs w:val="24"/>
              </w:rPr>
            </w:pPr>
          </w:p>
        </w:tc>
      </w:tr>
      <w:tr w:rsidR="005875D2" w:rsidRPr="005875D2" w:rsidTr="005875D2">
        <w:trPr>
          <w:trHeight w:val="276"/>
        </w:trPr>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Default="005875D2"/>
    <w:p w:rsidR="005875D2" w:rsidRDefault="005875D2"/>
    <w:p w:rsidR="005875D2" w:rsidRDefault="005875D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875D2">
        <w:trPr>
          <w:trHeight w:val="276"/>
        </w:trPr>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1094</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3" w:name="_Toc449093089"/>
            <w:r w:rsidRPr="005875D2">
              <w:rPr>
                <w:rFonts w:ascii="Times New Roman" w:hAnsi="Times New Roman" w:cs="Times New Roman"/>
                <w:b/>
                <w:bCs/>
              </w:rPr>
              <w:t>Spodnji Gasteraj – Domačija Horvat</w:t>
            </w:r>
            <w:bookmarkEnd w:id="23"/>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xml:space="preserve">. 47, 282/2, 283, jugozahodni del 287/1  </w:t>
            </w:r>
            <w:proofErr w:type="spellStart"/>
            <w:r w:rsidRPr="005875D2">
              <w:rPr>
                <w:rFonts w:cs="Times New Roman"/>
                <w:color w:val="000000"/>
                <w:szCs w:val="24"/>
              </w:rPr>
              <w:t>k.o</w:t>
            </w:r>
            <w:proofErr w:type="spellEnd"/>
            <w:r w:rsidRPr="005875D2">
              <w:rPr>
                <w:rFonts w:cs="Times New Roman"/>
                <w:color w:val="000000"/>
                <w:szCs w:val="24"/>
              </w:rPr>
              <w:t xml:space="preserve">. Spodnji Gasteraj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Hiša z gospodarskim poslopjem Horvatove domačije stoji ob cesti v razloženem naselju. Hiša, krita s strmo opečno, čopasto dvokapnico je pritlična, z sedem osno vhodno, cestno fasado. Vhod je v srednji osi, skozi kamnit polkrožno zaključen portal, ki je datiran z letnico 18 . . v temenskem sklepniku. Okna so dvokrilna, deljena s prečkami ter zaščitena z bidermajersko oblikovanimi kovanimi mrežami.. Fasado členijo bogate okenske obrobe s cofki in volutami, </w:t>
            </w:r>
            <w:proofErr w:type="spellStart"/>
            <w:r w:rsidRPr="005875D2">
              <w:rPr>
                <w:rFonts w:cs="Times New Roman"/>
                <w:color w:val="000000"/>
                <w:szCs w:val="24"/>
              </w:rPr>
              <w:t>lizene</w:t>
            </w:r>
            <w:proofErr w:type="spellEnd"/>
            <w:r w:rsidRPr="005875D2">
              <w:rPr>
                <w:rFonts w:cs="Times New Roman"/>
                <w:color w:val="000000"/>
                <w:szCs w:val="24"/>
              </w:rPr>
              <w:t xml:space="preserve"> med okenskimi osmi, gladke čelne obrobe in profiliran podstrešni zidec. Na </w:t>
            </w:r>
            <w:r w:rsidRPr="005875D2">
              <w:rPr>
                <w:rFonts w:cs="Times New Roman"/>
                <w:color w:val="000000"/>
                <w:szCs w:val="24"/>
              </w:rPr>
              <w:lastRenderedPageBreak/>
              <w:t xml:space="preserve">severni zatrepni fasadi je v bogati obrobi freska svetega Florjana. Notranjščina hiše z ohranjenim stavbnim pohištvom ima tipično razporeditev: v centralni osi sta obokana veža in obokana kuhinja, levo in desno pa večji sobi, izba in shramba. V »hiši« z lepo izdelanim lesenim  tramovnim stropom stoji krušna peč. Hiša je podkletena, kleti so obokane. Ob hiši stoji večje gospodarsko poslopje z odprtim hodnikom, ki je v zatrepu </w:t>
            </w:r>
            <w:proofErr w:type="spellStart"/>
            <w:r w:rsidRPr="005875D2">
              <w:rPr>
                <w:rFonts w:cs="Times New Roman"/>
                <w:color w:val="000000"/>
                <w:szCs w:val="24"/>
              </w:rPr>
              <w:t>prevotleno</w:t>
            </w:r>
            <w:proofErr w:type="spellEnd"/>
            <w:r w:rsidRPr="005875D2">
              <w:rPr>
                <w:rFonts w:cs="Times New Roman"/>
                <w:color w:val="000000"/>
                <w:szCs w:val="24"/>
              </w:rPr>
              <w:t xml:space="preserve"> z značilnimi  prezračevalnimi opečnimi mrežami.</w:t>
            </w:r>
          </w:p>
          <w:p w:rsidR="005875D2" w:rsidRPr="005875D2" w:rsidRDefault="005875D2" w:rsidP="005F01BB">
            <w:pPr>
              <w:jc w:val="both"/>
              <w:rPr>
                <w:rFonts w:cs="Times New Roman"/>
                <w:color w:val="000000"/>
                <w:szCs w:val="24"/>
              </w:rPr>
            </w:pPr>
            <w:r w:rsidRPr="005875D2">
              <w:rPr>
                <w:rFonts w:cs="Times New Roman"/>
                <w:color w:val="000000"/>
                <w:szCs w:val="24"/>
              </w:rPr>
              <w:t xml:space="preserve">Hiša je primer ohranjene arhitekture iz prve polovice 19. stoletja, nekoč bogatejše kmetije.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hiše in gospodarskega poslopja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poslopja,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1095</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4" w:name="_Toc449093090"/>
            <w:r w:rsidRPr="005875D2">
              <w:rPr>
                <w:rFonts w:ascii="Times New Roman" w:hAnsi="Times New Roman" w:cs="Times New Roman"/>
                <w:b/>
                <w:bCs/>
              </w:rPr>
              <w:t>Spodnji Gasteraj – Hiša Spodnji Gasteraj 39</w:t>
            </w:r>
            <w:bookmarkEnd w:id="24"/>
            <w:r w:rsidRPr="005875D2">
              <w:rPr>
                <w:rFonts w:ascii="Times New Roman" w:hAnsi="Times New Roman" w:cs="Times New Roman"/>
                <w:b/>
                <w:bCs/>
              </w:rPr>
              <w:t xml:space="preserv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xml:space="preserve">.*118 </w:t>
            </w:r>
            <w:proofErr w:type="spellStart"/>
            <w:r w:rsidRPr="005875D2">
              <w:rPr>
                <w:rFonts w:cs="Times New Roman"/>
                <w:color w:val="000000"/>
                <w:szCs w:val="24"/>
              </w:rPr>
              <w:t>k.o</w:t>
            </w:r>
            <w:proofErr w:type="spellEnd"/>
            <w:r w:rsidRPr="005875D2">
              <w:rPr>
                <w:rFonts w:cs="Times New Roman"/>
                <w:color w:val="000000"/>
                <w:szCs w:val="24"/>
              </w:rPr>
              <w:t xml:space="preserve">. Spodnji Gasteraj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Hiša nekoč večje domačije leži v nižini razloženega naselja. Pri prenovi domačije pred nekaj leti so porušili gospodarsko poslopje, na hiši pa izvedli novo neustrezno streho. Fasada hiše s celotno notranjščino je ostala nepoškodovana. Fasada je poznobaročno členjena z bogatimi okenskimi obrobami in cofki, pilastri med okenskimi osmi in polkrožno zaključenim podstrešnim zidcem. Vhodna stran hiše s širokim napuščem je pet osna. Vhod v hišo vodi skozi kamnit, polkrožno zaključen portal, poudarjen s temenskim sklepnikom. Vrata so lesena, </w:t>
            </w:r>
            <w:proofErr w:type="spellStart"/>
            <w:r w:rsidRPr="005875D2">
              <w:rPr>
                <w:rFonts w:cs="Times New Roman"/>
                <w:color w:val="000000"/>
                <w:szCs w:val="24"/>
              </w:rPr>
              <w:t>kasetirana</w:t>
            </w:r>
            <w:proofErr w:type="spellEnd"/>
            <w:r w:rsidRPr="005875D2">
              <w:rPr>
                <w:rFonts w:cs="Times New Roman"/>
                <w:color w:val="000000"/>
                <w:szCs w:val="24"/>
              </w:rPr>
              <w:t>. Dvokrilna okna so deljena na polja in opremljena z bidermajerskimi kovanimi mrežami in lesenimi polkni. Notranjščina ima tipično razporeditev prostorov z vežo in kuhinjo v srednji osi ter sobami levo in desno z bogato ohranjeno štukaturo in poslikavo.</w:t>
            </w:r>
          </w:p>
          <w:p w:rsidR="005875D2" w:rsidRPr="005875D2" w:rsidRDefault="005875D2" w:rsidP="005F01BB">
            <w:pPr>
              <w:jc w:val="both"/>
              <w:rPr>
                <w:rFonts w:cs="Times New Roman"/>
                <w:color w:val="000000"/>
                <w:szCs w:val="24"/>
              </w:rPr>
            </w:pPr>
            <w:r w:rsidRPr="005875D2">
              <w:rPr>
                <w:rFonts w:cs="Times New Roman"/>
                <w:color w:val="000000"/>
                <w:szCs w:val="24"/>
              </w:rPr>
              <w:t>Hiša je podkletena. Obokano klet podpirajo slopi.</w:t>
            </w:r>
          </w:p>
          <w:p w:rsidR="005875D2" w:rsidRPr="005875D2" w:rsidRDefault="005875D2" w:rsidP="005F01BB">
            <w:pPr>
              <w:jc w:val="both"/>
              <w:rPr>
                <w:rFonts w:cs="Times New Roman"/>
                <w:color w:val="000000"/>
                <w:szCs w:val="24"/>
              </w:rPr>
            </w:pPr>
            <w:r w:rsidRPr="005875D2">
              <w:rPr>
                <w:rFonts w:cs="Times New Roman"/>
                <w:color w:val="000000"/>
                <w:szCs w:val="24"/>
              </w:rPr>
              <w:lastRenderedPageBreak/>
              <w:t xml:space="preserve">Stanovanjska hiša iz prve polovice 19. stoletja govori o nekoč bogati kmetiji.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25530</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5" w:name="_Toc449093091"/>
            <w:r w:rsidRPr="005875D2">
              <w:rPr>
                <w:rFonts w:ascii="Times New Roman" w:hAnsi="Times New Roman" w:cs="Times New Roman"/>
                <w:b/>
                <w:bCs/>
              </w:rPr>
              <w:t>Varda – Hiša Varda 14</w:t>
            </w:r>
            <w:bookmarkEnd w:id="25"/>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severovzhodni del </w:t>
            </w:r>
            <w:proofErr w:type="spellStart"/>
            <w:r w:rsidRPr="005875D2">
              <w:rPr>
                <w:rFonts w:cs="Times New Roman"/>
                <w:color w:val="000000"/>
                <w:szCs w:val="24"/>
              </w:rPr>
              <w:t>parc</w:t>
            </w:r>
            <w:proofErr w:type="spellEnd"/>
            <w:r w:rsidRPr="005875D2">
              <w:rPr>
                <w:rFonts w:cs="Times New Roman"/>
                <w:color w:val="000000"/>
                <w:szCs w:val="24"/>
              </w:rPr>
              <w:t xml:space="preserve">. št.  *170/2  </w:t>
            </w:r>
            <w:proofErr w:type="spellStart"/>
            <w:r w:rsidRPr="005875D2">
              <w:rPr>
                <w:rFonts w:cs="Times New Roman"/>
                <w:color w:val="000000"/>
                <w:szCs w:val="24"/>
              </w:rPr>
              <w:t>k.o</w:t>
            </w:r>
            <w:proofErr w:type="spellEnd"/>
            <w:r w:rsidRPr="005875D2">
              <w:rPr>
                <w:rFonts w:cs="Times New Roman"/>
                <w:color w:val="000000"/>
                <w:szCs w:val="24"/>
              </w:rPr>
              <w:t>. Varda</w:t>
            </w:r>
            <w:r w:rsidRPr="005875D2">
              <w:rPr>
                <w:rFonts w:cs="Times New Roman"/>
                <w:b/>
                <w:color w:val="000000"/>
                <w:szCs w:val="24"/>
              </w:rPr>
              <w:t xml:space="preserv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Hiša stoji ob slemenski cesti v osrednjem delu razloženega naselja. Lesena, podkletena hiša, krita z opečno, dvokapno streho ima stanovanjski del, prostor z leseno prešo in vinsko klet. Vhoda v stanovanjski del hiše in prostor s prešo, ki se nadaljuje v nizu sta na podolžni strani stavbe pod širokim strešnim napuščem. V klet se gre po zunanjih stopnicah, ki so nameščene ob hiši prav tako pod napuščem in se zapirajo z dvokrilno loputo. Konzole strešne konstrukcije so tesarsko dekorativno oblikovane. Stavba je v celoti ometana in pobeljena. Notranjščina je tradicionalno razporejena. V srednji osi sta veža in kuhinja z zidanim štedilnikom in kuriščem za krušno peč, levo in desno so sobe. V bivalni sobi »hiši« stoji krušna peč, na osrednjem tramu lesenega stropa je vrezana letnica 1787. Vinska klet ima kamnit banjast obok. Ohranjena so stara okna s polkni in vsa stara vrata. V hiši je staro pohištvo in oprema iz </w:t>
            </w:r>
            <w:smartTag w:uri="urn:schemas-microsoft-com:office:smarttags" w:element="metricconverter">
              <w:smartTagPr>
                <w:attr w:name="ProductID" w:val="19. in"/>
              </w:smartTagPr>
              <w:r w:rsidRPr="005875D2">
                <w:rPr>
                  <w:rFonts w:cs="Times New Roman"/>
                  <w:color w:val="000000"/>
                  <w:szCs w:val="24"/>
                </w:rPr>
                <w:t>19. in</w:t>
              </w:r>
            </w:smartTag>
            <w:r w:rsidRPr="005875D2">
              <w:rPr>
                <w:rFonts w:cs="Times New Roman"/>
                <w:color w:val="000000"/>
                <w:szCs w:val="24"/>
              </w:rPr>
              <w:t xml:space="preserve"> začetka 20. stoletja.</w:t>
            </w:r>
          </w:p>
          <w:p w:rsidR="005875D2" w:rsidRPr="005875D2" w:rsidRDefault="005875D2" w:rsidP="005F01BB">
            <w:pPr>
              <w:jc w:val="both"/>
              <w:rPr>
                <w:rFonts w:cs="Times New Roman"/>
                <w:color w:val="000000"/>
                <w:szCs w:val="24"/>
              </w:rPr>
            </w:pPr>
            <w:r w:rsidRPr="005875D2">
              <w:rPr>
                <w:rFonts w:cs="Times New Roman"/>
                <w:color w:val="000000"/>
                <w:szCs w:val="24"/>
              </w:rPr>
              <w:t>Z ohranjeno notranjo opremo hiša predstavlja  redek primer tipične podeželske arhitekture iz konca 18. stoletja.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lastRenderedPageBreak/>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7125</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6" w:name="_Toc449093092"/>
            <w:r w:rsidRPr="005875D2">
              <w:rPr>
                <w:rFonts w:ascii="Times New Roman" w:hAnsi="Times New Roman" w:cs="Times New Roman"/>
                <w:b/>
                <w:bCs/>
              </w:rPr>
              <w:t>Zgornje Partinje – Hiša Zgornje Partinje 27</w:t>
            </w:r>
            <w:bookmarkEnd w:id="26"/>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severozahodni del </w:t>
            </w:r>
            <w:proofErr w:type="spellStart"/>
            <w:r w:rsidRPr="005875D2">
              <w:rPr>
                <w:rFonts w:cs="Times New Roman"/>
                <w:color w:val="000000"/>
                <w:szCs w:val="24"/>
              </w:rPr>
              <w:t>parc</w:t>
            </w:r>
            <w:proofErr w:type="spellEnd"/>
            <w:r w:rsidRPr="005875D2">
              <w:rPr>
                <w:rFonts w:cs="Times New Roman"/>
                <w:color w:val="000000"/>
                <w:szCs w:val="24"/>
              </w:rPr>
              <w:t xml:space="preserve">. št. *70/1  </w:t>
            </w:r>
            <w:proofErr w:type="spellStart"/>
            <w:r w:rsidRPr="005875D2">
              <w:rPr>
                <w:rFonts w:cs="Times New Roman"/>
                <w:color w:val="000000"/>
                <w:szCs w:val="24"/>
              </w:rPr>
              <w:t>k.o</w:t>
            </w:r>
            <w:proofErr w:type="spellEnd"/>
            <w:r w:rsidRPr="005875D2">
              <w:rPr>
                <w:rFonts w:cs="Times New Roman"/>
                <w:color w:val="000000"/>
                <w:szCs w:val="24"/>
              </w:rPr>
              <w:t>.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Nekoliko v pobočju nad lokalno cesto stoji hiša nekoč večje domačije. Zidana, visokopritlična hiša z dvokapno, opečno streho ima sedem osno vhodno fasado. Na zatrepni fasadi, kjer je vhod v klet je pritličje </w:t>
            </w:r>
            <w:proofErr w:type="spellStart"/>
            <w:r w:rsidRPr="005875D2">
              <w:rPr>
                <w:rFonts w:cs="Times New Roman"/>
                <w:color w:val="000000"/>
                <w:szCs w:val="24"/>
              </w:rPr>
              <w:t>troosno</w:t>
            </w:r>
            <w:proofErr w:type="spellEnd"/>
            <w:r w:rsidRPr="005875D2">
              <w:rPr>
                <w:rFonts w:cs="Times New Roman"/>
                <w:color w:val="000000"/>
                <w:szCs w:val="24"/>
              </w:rPr>
              <w:t>. Kletni portal je lesen, segmentno zaključen. Vhod v hišo poudarja stebrasto</w:t>
            </w:r>
            <w:r w:rsidRPr="005875D2">
              <w:rPr>
                <w:rFonts w:cs="Times New Roman"/>
                <w:b/>
                <w:color w:val="000000"/>
                <w:szCs w:val="24"/>
              </w:rPr>
              <w:t xml:space="preserve"> </w:t>
            </w:r>
            <w:r w:rsidRPr="005875D2">
              <w:rPr>
                <w:rFonts w:cs="Times New Roman"/>
                <w:color w:val="000000"/>
                <w:szCs w:val="24"/>
              </w:rPr>
              <w:t>stopnišče z dvokapno strešico</w:t>
            </w:r>
            <w:r w:rsidRPr="005875D2">
              <w:rPr>
                <w:rFonts w:cs="Times New Roman"/>
                <w:b/>
                <w:color w:val="000000"/>
                <w:szCs w:val="24"/>
              </w:rPr>
              <w:t xml:space="preserve"> </w:t>
            </w:r>
            <w:r w:rsidRPr="005875D2">
              <w:rPr>
                <w:rFonts w:cs="Times New Roman"/>
                <w:color w:val="000000"/>
                <w:szCs w:val="24"/>
              </w:rPr>
              <w:t xml:space="preserve">in kamnitimi stopnicami. Vhodni portal je kamnit, pravokotno oblikovan in datiran z letnico 18.. na prekladi. Stara vrata, ki so bila lesna,  </w:t>
            </w:r>
            <w:proofErr w:type="spellStart"/>
            <w:r w:rsidRPr="005875D2">
              <w:rPr>
                <w:rFonts w:cs="Times New Roman"/>
                <w:color w:val="000000"/>
                <w:szCs w:val="24"/>
              </w:rPr>
              <w:t>kasetirana</w:t>
            </w:r>
            <w:proofErr w:type="spellEnd"/>
            <w:r w:rsidRPr="005875D2">
              <w:rPr>
                <w:rFonts w:cs="Times New Roman"/>
                <w:color w:val="000000"/>
                <w:szCs w:val="24"/>
              </w:rPr>
              <w:t xml:space="preserve"> in okrašena z geometrijskimi vzorci so nadomeščena z novimi, neustreznimi. Razporeditev notranjščine je tradicionalna, veža in kuhinja v srednji osi, levo in desno sobe. Okna, nekoč deljena na polja ter zaščitena s križi in polkni so odstranjena in nadomeščena z novimi, enokrilnimi, plastičnimi okni. Odstranjeni so tudi križi in lesena polkna.</w:t>
            </w:r>
          </w:p>
          <w:p w:rsidR="005875D2" w:rsidRPr="005875D2" w:rsidRDefault="005875D2" w:rsidP="005F01BB">
            <w:pPr>
              <w:jc w:val="both"/>
              <w:rPr>
                <w:rFonts w:cs="Times New Roman"/>
                <w:color w:val="000000"/>
                <w:szCs w:val="24"/>
              </w:rPr>
            </w:pPr>
            <w:r w:rsidRPr="005875D2">
              <w:rPr>
                <w:rFonts w:cs="Times New Roman"/>
                <w:color w:val="000000"/>
                <w:szCs w:val="24"/>
              </w:rPr>
              <w:t>Hiša je tipična kmečka arhitektura 19. stoletja.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poslopje,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25536</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7" w:name="_Toc449093093"/>
            <w:r w:rsidRPr="005875D2">
              <w:rPr>
                <w:rFonts w:ascii="Times New Roman" w:hAnsi="Times New Roman" w:cs="Times New Roman"/>
                <w:b/>
                <w:bCs/>
              </w:rPr>
              <w:t>Zgornje Partinje – Hiša Zgornje Partinje 40</w:t>
            </w:r>
            <w:bookmarkEnd w:id="27"/>
            <w:r w:rsidRPr="005875D2">
              <w:rPr>
                <w:rFonts w:ascii="Times New Roman" w:hAnsi="Times New Roman" w:cs="Times New Roman"/>
                <w:b/>
                <w:bCs/>
              </w:rPr>
              <w:t xml:space="preserv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osrednji del </w:t>
            </w:r>
            <w:proofErr w:type="spellStart"/>
            <w:r w:rsidRPr="005875D2">
              <w:rPr>
                <w:rFonts w:cs="Times New Roman"/>
                <w:color w:val="000000"/>
                <w:szCs w:val="24"/>
              </w:rPr>
              <w:t>parc</w:t>
            </w:r>
            <w:proofErr w:type="spellEnd"/>
            <w:r w:rsidRPr="005875D2">
              <w:rPr>
                <w:rFonts w:cs="Times New Roman"/>
                <w:color w:val="000000"/>
                <w:szCs w:val="24"/>
              </w:rPr>
              <w:t xml:space="preserve">. št. 389/5 </w:t>
            </w:r>
            <w:proofErr w:type="spellStart"/>
            <w:r w:rsidRPr="005875D2">
              <w:rPr>
                <w:rFonts w:cs="Times New Roman"/>
                <w:color w:val="000000"/>
                <w:szCs w:val="24"/>
              </w:rPr>
              <w:t>k.o</w:t>
            </w:r>
            <w:proofErr w:type="spellEnd"/>
            <w:r w:rsidRPr="005875D2">
              <w:rPr>
                <w:rFonts w:cs="Times New Roman"/>
                <w:color w:val="000000"/>
                <w:szCs w:val="24"/>
              </w:rPr>
              <w:t>.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Hiša nekdanje Koroščeve domačije stoji v rahlem pobočju nekoliko nad cesto v razloženem naselju. Hiša, krita s strmo opečno dvokapnico, je visokopritlična, podkletena stavba z sedem osno vhodno fasado. Vhod v hišo je v srednji osi s stebrastim,</w:t>
            </w:r>
            <w:r w:rsidRPr="005875D2">
              <w:rPr>
                <w:rFonts w:cs="Times New Roman"/>
                <w:b/>
                <w:color w:val="000000"/>
                <w:szCs w:val="24"/>
              </w:rPr>
              <w:t xml:space="preserve"> </w:t>
            </w:r>
            <w:r w:rsidRPr="005875D2">
              <w:rPr>
                <w:rFonts w:cs="Times New Roman"/>
                <w:color w:val="000000"/>
                <w:szCs w:val="24"/>
              </w:rPr>
              <w:t>kamnitim</w:t>
            </w:r>
            <w:r w:rsidRPr="005875D2">
              <w:rPr>
                <w:rFonts w:cs="Times New Roman"/>
                <w:b/>
                <w:color w:val="000000"/>
                <w:szCs w:val="24"/>
              </w:rPr>
              <w:t xml:space="preserve"> </w:t>
            </w:r>
            <w:r w:rsidRPr="005875D2">
              <w:rPr>
                <w:rFonts w:cs="Times New Roman"/>
                <w:color w:val="000000"/>
                <w:szCs w:val="24"/>
              </w:rPr>
              <w:t xml:space="preserve">stopniščem, kritim z dvokapno strešico. Kamniti, polkrožno zaključeni portal je opremljen s </w:t>
            </w:r>
            <w:proofErr w:type="spellStart"/>
            <w:r w:rsidRPr="005875D2">
              <w:rPr>
                <w:rFonts w:cs="Times New Roman"/>
                <w:color w:val="000000"/>
                <w:szCs w:val="24"/>
              </w:rPr>
              <w:t>kasetiranimi</w:t>
            </w:r>
            <w:proofErr w:type="spellEnd"/>
            <w:r w:rsidRPr="005875D2">
              <w:rPr>
                <w:rFonts w:cs="Times New Roman"/>
                <w:color w:val="000000"/>
                <w:szCs w:val="24"/>
              </w:rPr>
              <w:t xml:space="preserve"> dvokrilnimi vrati. Fasado členijo podstrešni venec, vogalni kvadratni robovi  in okenske obrobe. Okna s polkni so novejša. Notranjščina hiše, ki je v celoti ohranjena ima tipično razporeditev: v centralni osi sta obokana veža in obokana kuhinja, levo in desno pa shramba in sobe. V »hiši« z lepo izdelanim lesenim  tramovnim stropom stoji krušna peč. Nekoč črna kuhinja ima ohranjeno veliko napo, ki zavzema polovico prostora. Hiša je podkletena z obokano kletjo. Zunanji kletni portal je kamnit in vodi v kletni predprostor. Od tod pridemo skozi kamnit baročni portal v veliko klet, kjer je bil nekoč vodnjak. </w:t>
            </w:r>
          </w:p>
          <w:p w:rsidR="005875D2" w:rsidRPr="005875D2" w:rsidRDefault="005875D2" w:rsidP="005F01BB">
            <w:pPr>
              <w:jc w:val="both"/>
              <w:rPr>
                <w:rFonts w:cs="Times New Roman"/>
                <w:color w:val="000000"/>
                <w:szCs w:val="24"/>
              </w:rPr>
            </w:pPr>
            <w:r w:rsidRPr="005875D2">
              <w:rPr>
                <w:rFonts w:cs="Times New Roman"/>
                <w:color w:val="000000"/>
                <w:szCs w:val="24"/>
              </w:rPr>
              <w:t>Hiša, nekoč bogatejše kmetije je primer ohranjene arhitekture iz 19. stoletja, ki izvira v osnovi iz 18. stoletja.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widowControl w:val="0"/>
        <w:tabs>
          <w:tab w:val="left" w:pos="566"/>
          <w:tab w:val="left" w:pos="2267"/>
        </w:tabs>
        <w:rPr>
          <w:rFonts w:cs="Times New Roman"/>
          <w:snapToGrid w:val="0"/>
          <w:szCs w:val="24"/>
        </w:rPr>
      </w:pPr>
    </w:p>
    <w:p w:rsidR="005875D2" w:rsidRPr="005875D2" w:rsidRDefault="005875D2" w:rsidP="005875D2">
      <w:pPr>
        <w:widowControl w:val="0"/>
        <w:tabs>
          <w:tab w:val="left" w:pos="566"/>
          <w:tab w:val="left" w:pos="2267"/>
        </w:tabs>
        <w:rPr>
          <w:rFonts w:cs="Times New Roman"/>
          <w:snapToGrid w:val="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29122</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8" w:name="_Toc449093094"/>
            <w:r w:rsidRPr="005875D2">
              <w:rPr>
                <w:rFonts w:ascii="Times New Roman" w:hAnsi="Times New Roman" w:cs="Times New Roman"/>
                <w:b/>
                <w:bCs/>
              </w:rPr>
              <w:t>Zgornje Partinje – Hiša Zgornje Partinje 79</w:t>
            </w:r>
            <w:bookmarkEnd w:id="28"/>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severovzhodni del </w:t>
            </w:r>
            <w:proofErr w:type="spellStart"/>
            <w:r w:rsidRPr="005875D2">
              <w:rPr>
                <w:rFonts w:cs="Times New Roman"/>
                <w:color w:val="000000"/>
                <w:szCs w:val="24"/>
              </w:rPr>
              <w:t>parc</w:t>
            </w:r>
            <w:proofErr w:type="spellEnd"/>
            <w:r w:rsidRPr="005875D2">
              <w:rPr>
                <w:rFonts w:cs="Times New Roman"/>
                <w:color w:val="000000"/>
                <w:szCs w:val="24"/>
              </w:rPr>
              <w:t xml:space="preserve">. št. 240/10 </w:t>
            </w:r>
            <w:proofErr w:type="spellStart"/>
            <w:r w:rsidRPr="005875D2">
              <w:rPr>
                <w:rFonts w:cs="Times New Roman"/>
                <w:color w:val="000000"/>
                <w:szCs w:val="24"/>
              </w:rPr>
              <w:t>k.o</w:t>
            </w:r>
            <w:proofErr w:type="spellEnd"/>
            <w:r w:rsidRPr="005875D2">
              <w:rPr>
                <w:rFonts w:cs="Times New Roman"/>
                <w:color w:val="000000"/>
                <w:szCs w:val="24"/>
              </w:rPr>
              <w:t>.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b/>
                <w:noProof/>
                <w:szCs w:val="24"/>
              </w:rPr>
            </w:pPr>
            <w:r w:rsidRPr="005875D2">
              <w:rPr>
                <w:rFonts w:cs="Times New Roman"/>
                <w:color w:val="000000"/>
                <w:szCs w:val="24"/>
              </w:rPr>
              <w:t>Hiša je enonadstropna, podkletena, pravokotno oblikovana stavba s strmo dvokapno streho. Stoji ob cesti slemenskega naselja.</w:t>
            </w:r>
          </w:p>
          <w:p w:rsidR="005875D2" w:rsidRPr="005875D2" w:rsidRDefault="005875D2" w:rsidP="005F01BB">
            <w:pPr>
              <w:jc w:val="both"/>
              <w:rPr>
                <w:rFonts w:cs="Times New Roman"/>
                <w:color w:val="000000"/>
                <w:szCs w:val="24"/>
              </w:rPr>
            </w:pPr>
            <w:r w:rsidRPr="005875D2">
              <w:rPr>
                <w:rFonts w:cs="Times New Roman"/>
                <w:color w:val="000000"/>
                <w:szCs w:val="24"/>
              </w:rPr>
              <w:t xml:space="preserve">Poslopje, nekdanjo zidanico sestavljajo bivalni prostori v pritličju in nadstropju, večji prostor z leseno prešo, ki je datirana z letnico </w:t>
            </w:r>
            <w:smartTag w:uri="urn:schemas-microsoft-com:office:smarttags" w:element="metricconverter">
              <w:smartTagPr>
                <w:attr w:name="ProductID" w:val="1854 in"/>
              </w:smartTagPr>
              <w:r w:rsidRPr="005875D2">
                <w:rPr>
                  <w:rFonts w:cs="Times New Roman"/>
                  <w:color w:val="000000"/>
                  <w:szCs w:val="24"/>
                </w:rPr>
                <w:t>1854 in</w:t>
              </w:r>
            </w:smartTag>
            <w:r w:rsidRPr="005875D2">
              <w:rPr>
                <w:rFonts w:cs="Times New Roman"/>
                <w:color w:val="000000"/>
                <w:szCs w:val="24"/>
              </w:rPr>
              <w:t xml:space="preserve"> velika obokana vinska klet. V vinsko klet vodi iz prostora z leseno prešo kamnoseško izdelan, pravokotno oblikovan portal z robom posnetim na ajdovo zrno in datiran z letnico 1559. Prostori v pritličju so obokani. Ohranjena je črna kuhinja s kuriščem. V  nadstropje vodijo stopnice preko zunanje lesene stebriščne verande. Razen tega vodi v nadstropje še notranje stopnišče iz prostora s prešo.</w:t>
            </w:r>
          </w:p>
          <w:p w:rsidR="005875D2" w:rsidRPr="005875D2" w:rsidRDefault="005875D2" w:rsidP="005F01BB">
            <w:pPr>
              <w:jc w:val="both"/>
              <w:rPr>
                <w:rFonts w:cs="Times New Roman"/>
                <w:color w:val="000000"/>
                <w:szCs w:val="24"/>
              </w:rPr>
            </w:pPr>
            <w:r w:rsidRPr="005875D2">
              <w:rPr>
                <w:rFonts w:cs="Times New Roman"/>
                <w:color w:val="000000"/>
                <w:szCs w:val="24"/>
              </w:rPr>
              <w:t xml:space="preserve">Stavba, značilna, nekoč vinogradniška stavba, ki stoji ob cesti v naselju je z ohranjeno vinsko kletjo, poznogotskim kamnitim kletnim portalom, leseno prešo in črno kuhinjo izjemna kulturna dediščina.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arhitekturnih, etnoloških umetnostnih,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zCs w:val="24"/>
        </w:rPr>
      </w:pPr>
    </w:p>
    <w:p w:rsidR="005875D2" w:rsidRPr="005875D2" w:rsidRDefault="005875D2" w:rsidP="005875D2">
      <w:pPr>
        <w:rPr>
          <w:rFonts w:cs="Times New Roman"/>
          <w:szCs w:val="24"/>
        </w:rPr>
      </w:pPr>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25535</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29" w:name="_Toc449093095"/>
            <w:r w:rsidRPr="005875D2">
              <w:rPr>
                <w:rFonts w:ascii="Times New Roman" w:hAnsi="Times New Roman" w:cs="Times New Roman"/>
                <w:b/>
                <w:bCs/>
              </w:rPr>
              <w:t>Zgornje Partinje – Hiša Zgornje Partinje 139</w:t>
            </w:r>
            <w:bookmarkEnd w:id="29"/>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 severni del </w:t>
            </w:r>
            <w:proofErr w:type="spellStart"/>
            <w:r w:rsidRPr="005875D2">
              <w:rPr>
                <w:rFonts w:cs="Times New Roman"/>
                <w:color w:val="000000"/>
                <w:szCs w:val="24"/>
              </w:rPr>
              <w:t>parc</w:t>
            </w:r>
            <w:proofErr w:type="spellEnd"/>
            <w:r w:rsidRPr="005875D2">
              <w:rPr>
                <w:rFonts w:cs="Times New Roman"/>
                <w:color w:val="000000"/>
                <w:szCs w:val="24"/>
              </w:rPr>
              <w:t xml:space="preserve">. št.  *170/2  </w:t>
            </w:r>
            <w:proofErr w:type="spellStart"/>
            <w:r w:rsidRPr="005875D2">
              <w:rPr>
                <w:rFonts w:cs="Times New Roman"/>
                <w:color w:val="000000"/>
                <w:szCs w:val="24"/>
              </w:rPr>
              <w:t>k.o</w:t>
            </w:r>
            <w:proofErr w:type="spellEnd"/>
            <w:r w:rsidRPr="005875D2">
              <w:rPr>
                <w:rFonts w:cs="Times New Roman"/>
                <w:color w:val="000000"/>
                <w:szCs w:val="24"/>
              </w:rPr>
              <w:t>.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Pritlična podkletena zidanica, krita z dvokapno delno, salonitno delno cementno opeko stoji ob makadamski cesti na zahodnem delu naselja, postavljena pravokotno v pobočje. Razporeditev zidanice je tipična: bivalni del, prostor kjer je stala lesena preša in velika obokana vinska klet. Vhod v obokano klet je s cestne, zatrepne strani stavbe. Portal je kamnit, polkrožno zaključen, poudarjen s temenskim sklepnikom. Vrata so dvokrilna, lesena, </w:t>
            </w:r>
            <w:proofErr w:type="spellStart"/>
            <w:r w:rsidRPr="005875D2">
              <w:rPr>
                <w:rFonts w:cs="Times New Roman"/>
                <w:color w:val="000000"/>
                <w:szCs w:val="24"/>
              </w:rPr>
              <w:t>obbita</w:t>
            </w:r>
            <w:proofErr w:type="spellEnd"/>
            <w:r w:rsidRPr="005875D2">
              <w:rPr>
                <w:rFonts w:cs="Times New Roman"/>
                <w:color w:val="000000"/>
                <w:szCs w:val="24"/>
              </w:rPr>
              <w:t xml:space="preserve"> s pločevino.</w:t>
            </w:r>
          </w:p>
          <w:p w:rsidR="005875D2" w:rsidRPr="005875D2" w:rsidRDefault="005875D2" w:rsidP="005F01BB">
            <w:pPr>
              <w:jc w:val="both"/>
              <w:rPr>
                <w:rFonts w:cs="Times New Roman"/>
                <w:color w:val="000000"/>
                <w:szCs w:val="24"/>
              </w:rPr>
            </w:pPr>
            <w:r w:rsidRPr="005875D2">
              <w:rPr>
                <w:rFonts w:cs="Times New Roman"/>
                <w:color w:val="000000"/>
                <w:szCs w:val="24"/>
              </w:rPr>
              <w:t xml:space="preserve">S ceste vodijo vzdolž ob stavbi kamnite stopnice v stanovanjski del poslopja. V nizu je gospodarski del – prostor preše. Vhod v stanovanjski del je skozi kamnit, polkrožno zaključen portal z letnico </w:t>
            </w:r>
            <w:smartTag w:uri="urn:schemas-microsoft-com:office:smarttags" w:element="metricconverter">
              <w:smartTagPr>
                <w:attr w:name="ProductID" w:val="1837 in"/>
              </w:smartTagPr>
              <w:r w:rsidRPr="005875D2">
                <w:rPr>
                  <w:rFonts w:cs="Times New Roman"/>
                  <w:color w:val="000000"/>
                  <w:szCs w:val="24"/>
                </w:rPr>
                <w:t>1837 in</w:t>
              </w:r>
            </w:smartTag>
            <w:r w:rsidRPr="005875D2">
              <w:rPr>
                <w:rFonts w:cs="Times New Roman"/>
                <w:color w:val="000000"/>
                <w:szCs w:val="24"/>
              </w:rPr>
              <w:t xml:space="preserve"> črkama C.H. v temenskem sklepniku. V prostor preše vodijo </w:t>
            </w:r>
            <w:r w:rsidRPr="005875D2">
              <w:rPr>
                <w:rFonts w:cs="Times New Roman"/>
                <w:color w:val="000000"/>
                <w:szCs w:val="24"/>
              </w:rPr>
              <w:lastRenderedPageBreak/>
              <w:t xml:space="preserve">dvokrilna vrata v kamnitem, pravokotnem portalu z letnico </w:t>
            </w:r>
            <w:smartTag w:uri="urn:schemas-microsoft-com:office:smarttags" w:element="metricconverter">
              <w:smartTagPr>
                <w:attr w:name="ProductID" w:val="1877 in"/>
              </w:smartTagPr>
              <w:r w:rsidRPr="005875D2">
                <w:rPr>
                  <w:rFonts w:cs="Times New Roman"/>
                  <w:color w:val="000000"/>
                  <w:szCs w:val="24"/>
                </w:rPr>
                <w:t>1877 in</w:t>
              </w:r>
            </w:smartTag>
            <w:r w:rsidRPr="005875D2">
              <w:rPr>
                <w:rFonts w:cs="Times New Roman"/>
                <w:color w:val="000000"/>
                <w:szCs w:val="24"/>
              </w:rPr>
              <w:t xml:space="preserve"> črkama C.K.</w:t>
            </w:r>
          </w:p>
          <w:p w:rsidR="005875D2" w:rsidRPr="005875D2" w:rsidRDefault="005875D2" w:rsidP="005F01BB">
            <w:pPr>
              <w:jc w:val="both"/>
              <w:rPr>
                <w:rFonts w:cs="Times New Roman"/>
                <w:color w:val="000000"/>
                <w:szCs w:val="24"/>
              </w:rPr>
            </w:pPr>
            <w:r w:rsidRPr="005875D2">
              <w:rPr>
                <w:rFonts w:cs="Times New Roman"/>
                <w:color w:val="000000"/>
                <w:szCs w:val="24"/>
              </w:rPr>
              <w:t>Poslopje je tipična vinogradniška stavba.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stavbe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zCs w:val="24"/>
        </w:rPr>
      </w:pPr>
    </w:p>
    <w:p w:rsidR="005875D2" w:rsidRPr="005875D2" w:rsidRDefault="005875D2" w:rsidP="005875D2">
      <w:pPr>
        <w:rPr>
          <w:rFonts w:cs="Times New Roman"/>
          <w:szCs w:val="24"/>
        </w:rPr>
      </w:pPr>
    </w:p>
    <w:p w:rsidR="005875D2" w:rsidRPr="005875D2" w:rsidRDefault="005875D2" w:rsidP="005875D2">
      <w:pPr>
        <w:rPr>
          <w:rFonts w:cs="Times New Roman"/>
          <w:szCs w:val="24"/>
        </w:rPr>
      </w:pPr>
    </w:p>
    <w:tbl>
      <w:tblPr>
        <w:tblW w:w="91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25065</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30" w:name="_Toc449093096"/>
            <w:r w:rsidRPr="005875D2">
              <w:rPr>
                <w:rFonts w:ascii="Times New Roman" w:hAnsi="Times New Roman" w:cs="Times New Roman"/>
                <w:b/>
                <w:bCs/>
              </w:rPr>
              <w:t>Zgornje Partinje – Senekovičev štok</w:t>
            </w:r>
            <w:bookmarkEnd w:id="30"/>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Ulica: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Zgornje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Hišna številka: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134</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xml:space="preserve">. *166/1 </w:t>
            </w:r>
            <w:proofErr w:type="spellStart"/>
            <w:r w:rsidRPr="005875D2">
              <w:rPr>
                <w:rFonts w:cs="Times New Roman"/>
                <w:color w:val="000000"/>
                <w:szCs w:val="24"/>
              </w:rPr>
              <w:t>k.o</w:t>
            </w:r>
            <w:proofErr w:type="spellEnd"/>
            <w:r w:rsidRPr="005875D2">
              <w:rPr>
                <w:rFonts w:cs="Times New Roman"/>
                <w:color w:val="000000"/>
                <w:szCs w:val="24"/>
              </w:rPr>
              <w:t>.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Zidanica stoji na rahlem pobočju na zahodnem delu razloženega naselja. </w:t>
            </w:r>
          </w:p>
          <w:p w:rsidR="005875D2" w:rsidRPr="005875D2" w:rsidRDefault="005875D2" w:rsidP="005F01BB">
            <w:pPr>
              <w:jc w:val="both"/>
              <w:rPr>
                <w:rFonts w:cs="Times New Roman"/>
                <w:szCs w:val="24"/>
              </w:rPr>
            </w:pPr>
            <w:r w:rsidRPr="005875D2">
              <w:rPr>
                <w:rFonts w:cs="Times New Roman"/>
                <w:szCs w:val="24"/>
              </w:rPr>
              <w:t xml:space="preserve">Enonadstropna, pravokotno zasnovana, podkletena zidana stavba s pet osno glavno fasado je krita z opečno dvokapnico s celostranskimi čopi.  Ima značilno razporeditev vinogradniških stavb: bivalne prostore, prostor s prešo in obokano vinsko klet z osrednjim čokatim slopom. </w:t>
            </w:r>
          </w:p>
          <w:p w:rsidR="005875D2" w:rsidRPr="005875D2" w:rsidRDefault="005875D2" w:rsidP="005F01BB">
            <w:pPr>
              <w:jc w:val="both"/>
              <w:rPr>
                <w:rFonts w:cs="Times New Roman"/>
                <w:szCs w:val="24"/>
              </w:rPr>
            </w:pPr>
            <w:r w:rsidRPr="005875D2">
              <w:rPr>
                <w:rFonts w:cs="Times New Roman"/>
                <w:szCs w:val="24"/>
              </w:rPr>
              <w:t xml:space="preserve">Skozi glavni vhod v zidanico s </w:t>
            </w:r>
            <w:proofErr w:type="spellStart"/>
            <w:r w:rsidRPr="005875D2">
              <w:rPr>
                <w:rFonts w:cs="Times New Roman"/>
                <w:szCs w:val="24"/>
              </w:rPr>
              <w:t>kamnitm</w:t>
            </w:r>
            <w:proofErr w:type="spellEnd"/>
            <w:r w:rsidRPr="005875D2">
              <w:rPr>
                <w:rFonts w:cs="Times New Roman"/>
                <w:szCs w:val="24"/>
              </w:rPr>
              <w:t xml:space="preserve"> portalom in dvokrilnimi lesenimi </w:t>
            </w:r>
            <w:proofErr w:type="spellStart"/>
            <w:r w:rsidRPr="005875D2">
              <w:rPr>
                <w:rFonts w:cs="Times New Roman"/>
                <w:szCs w:val="24"/>
              </w:rPr>
              <w:t>kasetiranimi</w:t>
            </w:r>
            <w:proofErr w:type="spellEnd"/>
            <w:r w:rsidRPr="005875D2">
              <w:rPr>
                <w:rFonts w:cs="Times New Roman"/>
                <w:szCs w:val="24"/>
              </w:rPr>
              <w:t xml:space="preserve"> vrati, pridemo v osrednji prostor. Tu stoji velika lesena preša, na prešpanu datirana z letnico </w:t>
            </w:r>
            <w:smartTag w:uri="urn:schemas-microsoft-com:office:smarttags" w:element="metricconverter">
              <w:smartTagPr>
                <w:attr w:name="ProductID" w:val="1852 in"/>
              </w:smartTagPr>
              <w:r w:rsidRPr="005875D2">
                <w:rPr>
                  <w:rFonts w:cs="Times New Roman"/>
                  <w:szCs w:val="24"/>
                </w:rPr>
                <w:t>1852 in</w:t>
              </w:r>
            </w:smartTag>
            <w:r w:rsidRPr="005875D2">
              <w:rPr>
                <w:rFonts w:cs="Times New Roman"/>
                <w:szCs w:val="24"/>
              </w:rPr>
              <w:t xml:space="preserve"> označena z imeni Jakob </w:t>
            </w:r>
            <w:proofErr w:type="spellStart"/>
            <w:r w:rsidRPr="005875D2">
              <w:rPr>
                <w:rFonts w:cs="Times New Roman"/>
                <w:szCs w:val="24"/>
              </w:rPr>
              <w:t>und</w:t>
            </w:r>
            <w:proofErr w:type="spellEnd"/>
            <w:r w:rsidRPr="005875D2">
              <w:rPr>
                <w:rFonts w:cs="Times New Roman"/>
                <w:szCs w:val="24"/>
              </w:rPr>
              <w:t xml:space="preserve"> Johana </w:t>
            </w:r>
            <w:proofErr w:type="spellStart"/>
            <w:r w:rsidRPr="005875D2">
              <w:rPr>
                <w:rFonts w:cs="Times New Roman"/>
                <w:szCs w:val="24"/>
              </w:rPr>
              <w:t>Spitzy</w:t>
            </w:r>
            <w:proofErr w:type="spellEnd"/>
            <w:r w:rsidRPr="005875D2">
              <w:rPr>
                <w:rFonts w:cs="Times New Roman"/>
                <w:szCs w:val="24"/>
              </w:rPr>
              <w:t>. Iz njega vodijo stopnice skozi kamniti portal v obokano vinsko klet, ter zavite stopnice v bivalno nadstropje. Na desni strani sta v pritličju dva prostora, v enem stoji krušna peč. V bivalnem nadstropju so zanimiva kuhinja z veliko napo, sobi z dekorativno stropno in stensko poslikavo ter lončena peč.</w:t>
            </w:r>
          </w:p>
          <w:p w:rsidR="005875D2" w:rsidRPr="005875D2" w:rsidRDefault="005875D2" w:rsidP="005F01BB">
            <w:pPr>
              <w:jc w:val="both"/>
              <w:rPr>
                <w:rFonts w:cs="Times New Roman"/>
                <w:szCs w:val="24"/>
              </w:rPr>
            </w:pPr>
            <w:r w:rsidRPr="005875D2">
              <w:rPr>
                <w:rFonts w:cs="Times New Roman"/>
                <w:szCs w:val="24"/>
              </w:rPr>
              <w:t>Fasado členita podstrešni in mejni zidec ter okenske obrobe. Na zadnji strani zidanice je v nadstropju lesen gank.</w:t>
            </w:r>
          </w:p>
          <w:p w:rsidR="005875D2" w:rsidRPr="005875D2" w:rsidRDefault="005875D2" w:rsidP="005F01BB">
            <w:pPr>
              <w:jc w:val="both"/>
              <w:rPr>
                <w:rFonts w:cs="Times New Roman"/>
                <w:color w:val="000000"/>
                <w:szCs w:val="24"/>
              </w:rPr>
            </w:pPr>
            <w:r w:rsidRPr="005875D2">
              <w:rPr>
                <w:rFonts w:cs="Times New Roman"/>
                <w:color w:val="000000"/>
                <w:szCs w:val="24"/>
              </w:rPr>
              <w:t>Gosposka zidanica ima v celoti ohranjeno zunanjščino in notranjščino. Kvalitetno ohranjeni prostori, kamniti elementi, stavbno pohištvo in oprema izvirajo iz 19. stoletja.</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lastRenderedPageBreak/>
              <w:t>- varovanje vseh kulturnozgodovinskih, etnoloških, arhitekturnih, 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zidanice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lastRenderedPageBreak/>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zCs w:val="24"/>
        </w:rPr>
      </w:pPr>
    </w:p>
    <w:p w:rsidR="005875D2" w:rsidRPr="005875D2" w:rsidRDefault="005875D2" w:rsidP="005875D2">
      <w:pPr>
        <w:rPr>
          <w:rFonts w:cs="Times New Roman"/>
          <w:szCs w:val="24"/>
        </w:rPr>
      </w:pPr>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25522</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31" w:name="_Toc449093097"/>
            <w:r w:rsidRPr="005875D2">
              <w:rPr>
                <w:rFonts w:ascii="Times New Roman" w:hAnsi="Times New Roman" w:cs="Times New Roman"/>
                <w:b/>
                <w:bCs/>
              </w:rPr>
              <w:t xml:space="preserve">Zgornje Partinje – </w:t>
            </w:r>
            <w:proofErr w:type="spellStart"/>
            <w:r w:rsidRPr="005875D2">
              <w:rPr>
                <w:rFonts w:ascii="Times New Roman" w:hAnsi="Times New Roman" w:cs="Times New Roman"/>
                <w:b/>
                <w:bCs/>
              </w:rPr>
              <w:t>Šabedrov</w:t>
            </w:r>
            <w:proofErr w:type="spellEnd"/>
            <w:r w:rsidRPr="005875D2">
              <w:rPr>
                <w:rFonts w:ascii="Times New Roman" w:hAnsi="Times New Roman" w:cs="Times New Roman"/>
                <w:b/>
                <w:bCs/>
              </w:rPr>
              <w:t xml:space="preserve"> štok</w:t>
            </w:r>
            <w:bookmarkEnd w:id="31"/>
            <w:r w:rsidRPr="005875D2">
              <w:rPr>
                <w:rFonts w:ascii="Times New Roman" w:hAnsi="Times New Roman" w:cs="Times New Roman"/>
                <w:b/>
                <w:bCs/>
              </w:rPr>
              <w:t xml:space="preserv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Ulica: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Zgornje Partinje</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Hišna številka:</w:t>
            </w:r>
          </w:p>
        </w:tc>
        <w:tc>
          <w:tcPr>
            <w:tcW w:w="6840"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97</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zahodni del </w:t>
            </w:r>
            <w:proofErr w:type="spellStart"/>
            <w:r w:rsidRPr="005875D2">
              <w:rPr>
                <w:rFonts w:cs="Times New Roman"/>
                <w:color w:val="000000"/>
                <w:szCs w:val="24"/>
              </w:rPr>
              <w:t>parc</w:t>
            </w:r>
            <w:proofErr w:type="spellEnd"/>
            <w:r w:rsidRPr="005875D2">
              <w:rPr>
                <w:rFonts w:cs="Times New Roman"/>
                <w:color w:val="000000"/>
                <w:szCs w:val="24"/>
              </w:rPr>
              <w:t xml:space="preserve">. št  1127/5 </w:t>
            </w:r>
            <w:proofErr w:type="spellStart"/>
            <w:r w:rsidRPr="005875D2">
              <w:rPr>
                <w:rFonts w:cs="Times New Roman"/>
                <w:color w:val="000000"/>
                <w:szCs w:val="24"/>
              </w:rPr>
              <w:t>k.o</w:t>
            </w:r>
            <w:proofErr w:type="spellEnd"/>
            <w:r w:rsidRPr="005875D2">
              <w:rPr>
                <w:rFonts w:cs="Times New Roman"/>
                <w:color w:val="000000"/>
                <w:szCs w:val="24"/>
              </w:rPr>
              <w:t xml:space="preserve">. Partinje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Zidanica stoji ob slemenski cesti v zahodnem delu razloženega naselja. </w:t>
            </w:r>
          </w:p>
          <w:p w:rsidR="005875D2" w:rsidRPr="005875D2" w:rsidRDefault="005875D2" w:rsidP="005F01BB">
            <w:pPr>
              <w:jc w:val="both"/>
              <w:rPr>
                <w:rFonts w:cs="Times New Roman"/>
                <w:szCs w:val="24"/>
              </w:rPr>
            </w:pPr>
            <w:r w:rsidRPr="005875D2">
              <w:rPr>
                <w:rFonts w:cs="Times New Roman"/>
                <w:szCs w:val="24"/>
              </w:rPr>
              <w:t xml:space="preserve">Enonadstropna, delno pritličen, izrazito podolžno zasnovana zidana stavba, je krita z opečnima dvokapnicama.  Ima značilno razporeditev vinogradniških stavb: stanovanjski del, osrednji prostor, kjer je nekoč stala lesena preša in obokana vinska klet. Prostor, namenjen </w:t>
            </w:r>
            <w:proofErr w:type="spellStart"/>
            <w:r w:rsidRPr="005875D2">
              <w:rPr>
                <w:rFonts w:cs="Times New Roman"/>
                <w:szCs w:val="24"/>
              </w:rPr>
              <w:t>prešanju</w:t>
            </w:r>
            <w:proofErr w:type="spellEnd"/>
            <w:r w:rsidRPr="005875D2">
              <w:rPr>
                <w:rFonts w:cs="Times New Roman"/>
                <w:szCs w:val="24"/>
              </w:rPr>
              <w:t xml:space="preserve"> zavzema osrednji del stavbe, levo iz prostora vodijo stopnice skozi kamniti portal, posnet na ajdovo zrno, v obokano vinsko klet, desno iz prostora pa stopnice v bivalno nadstropje. V osrednji prostor, kjer je še pred nekaj leti stala lesena preša, vodita vhoda skozi kamnita poznogotska portala, ki sta posneta na ajdovo zrno. Zanimiv detajl je ohranjen kamnit </w:t>
            </w:r>
            <w:proofErr w:type="spellStart"/>
            <w:r w:rsidRPr="005875D2">
              <w:rPr>
                <w:rFonts w:cs="Times New Roman"/>
                <w:szCs w:val="24"/>
              </w:rPr>
              <w:t>izlivnik</w:t>
            </w:r>
            <w:proofErr w:type="spellEnd"/>
            <w:r w:rsidRPr="005875D2">
              <w:rPr>
                <w:rFonts w:cs="Times New Roman"/>
                <w:szCs w:val="24"/>
              </w:rPr>
              <w:t xml:space="preserve"> vode v nadstropju stanovanjskega dela stavbe. Vhodna vrata v stanovanjski del so že nova, neustrezna.  </w:t>
            </w:r>
          </w:p>
          <w:p w:rsidR="005875D2" w:rsidRPr="005875D2" w:rsidRDefault="005875D2" w:rsidP="005F01BB">
            <w:pPr>
              <w:jc w:val="both"/>
              <w:rPr>
                <w:rFonts w:cs="Times New Roman"/>
                <w:szCs w:val="24"/>
              </w:rPr>
            </w:pPr>
            <w:r w:rsidRPr="005875D2">
              <w:rPr>
                <w:rFonts w:cs="Times New Roman"/>
                <w:color w:val="000000"/>
                <w:szCs w:val="24"/>
              </w:rPr>
              <w:t xml:space="preserve">Tipično vinogradniško stavbo, ki izvira iz druge polovice 16. stoletja združuje enonadstropni stanovanjski del ter pritlični gospodarski del z vinsko kletjo. </w:t>
            </w:r>
            <w:r w:rsidRPr="005875D2">
              <w:rPr>
                <w:rFonts w:cs="Times New Roman"/>
                <w:szCs w:val="24"/>
              </w:rPr>
              <w:t xml:space="preserve">Nekdanja gosposka zidanica je kljub nekaterim manjšim posegom v notranjščini in menjavi vhodnih vrat ter oken v pritličju v osnovi kvalitetna arhitektura, ki jo odlikuje obokana vinska klet in ohranjeni kamniti poznogotski portali iz druge polovice 16. stoletja ter kamniti </w:t>
            </w:r>
            <w:proofErr w:type="spellStart"/>
            <w:r w:rsidRPr="005875D2">
              <w:rPr>
                <w:rFonts w:cs="Times New Roman"/>
                <w:szCs w:val="24"/>
              </w:rPr>
              <w:t>izlivnik</w:t>
            </w:r>
            <w:proofErr w:type="spellEnd"/>
            <w:r w:rsidRPr="005875D2">
              <w:rPr>
                <w:rFonts w:cs="Times New Roman"/>
                <w:szCs w:val="24"/>
              </w:rPr>
              <w:t xml:space="preserve"> vode. </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Za spomenik velja varstveni režim, ki določa:</w:t>
            </w:r>
          </w:p>
          <w:p w:rsidR="005875D2" w:rsidRPr="005875D2" w:rsidRDefault="005875D2" w:rsidP="005F01BB">
            <w:pPr>
              <w:rPr>
                <w:rFonts w:cs="Times New Roman"/>
                <w:szCs w:val="24"/>
              </w:rPr>
            </w:pPr>
            <w:r w:rsidRPr="005875D2">
              <w:rPr>
                <w:rFonts w:cs="Times New Roman"/>
                <w:szCs w:val="24"/>
              </w:rPr>
              <w:t>- varovanje vseh kulturnozgodovinskih, etnoloških, arhitekturnih, umetnostnih,</w:t>
            </w:r>
            <w:r w:rsidR="00D6614E">
              <w:rPr>
                <w:rFonts w:cs="Times New Roman"/>
                <w:szCs w:val="24"/>
              </w:rPr>
              <w:t xml:space="preserve"> </w:t>
            </w:r>
            <w:r w:rsidRPr="005875D2">
              <w:rPr>
                <w:rFonts w:cs="Times New Roman"/>
                <w:szCs w:val="24"/>
              </w:rPr>
              <w:t>likovnih, krajinskih in drugih vrednot v celoti, njihovi izvirnosti in neokrnjenosti ter varovanje vseh vedut na spomenik;</w:t>
            </w:r>
          </w:p>
          <w:p w:rsidR="005875D2" w:rsidRPr="005875D2" w:rsidRDefault="005875D2" w:rsidP="005F01BB">
            <w:pPr>
              <w:rPr>
                <w:rFonts w:cs="Times New Roman"/>
                <w:szCs w:val="24"/>
              </w:rPr>
            </w:pPr>
            <w:r w:rsidRPr="005875D2">
              <w:rPr>
                <w:rFonts w:cs="Times New Roman"/>
                <w:szCs w:val="24"/>
              </w:rPr>
              <w:t>- strokovno vzdrževanje in obnavljanje vseh neokrnjenih prvin zidanice po načelu ohranjanja tlorisne zasnove, gabaritov, lege, materialov, gradbene substance ter posameznih arhitekturnih in likovnih detajlov ter notranje opreme;</w:t>
            </w:r>
          </w:p>
          <w:p w:rsidR="005875D2" w:rsidRPr="005875D2" w:rsidRDefault="005875D2" w:rsidP="005F01BB">
            <w:pPr>
              <w:rPr>
                <w:rFonts w:cs="Times New Roman"/>
                <w:szCs w:val="24"/>
              </w:rPr>
            </w:pPr>
            <w:r w:rsidRPr="005875D2">
              <w:rPr>
                <w:rFonts w:cs="Times New Roman"/>
                <w:szCs w:val="24"/>
              </w:rPr>
              <w:lastRenderedPageBreak/>
              <w:t>- podrejanje vsake rabe in vseh posegov v stavbo, fasade, strehe, gabarite ohranjanju in vzdrževanju varovanih spomeniških lastnosti;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xml:space="preserve">- v območju spomenika ni dovoljeno posegati v prostor s postavljanjem objektov trajnega in začasnega značaja, vključno z nadzemno in nadometno infrastrukturo ter nosilci reklam, </w:t>
            </w:r>
          </w:p>
        </w:tc>
      </w:tr>
      <w:tr w:rsidR="008C5292" w:rsidRPr="005875D2" w:rsidTr="005F01BB">
        <w:tc>
          <w:tcPr>
            <w:tcW w:w="2268" w:type="dxa"/>
            <w:tcBorders>
              <w:top w:val="nil"/>
              <w:left w:val="nil"/>
              <w:bottom w:val="nil"/>
              <w:right w:val="nil"/>
            </w:tcBorders>
          </w:tcPr>
          <w:p w:rsidR="008C5292" w:rsidRPr="005875D2" w:rsidRDefault="008C5292" w:rsidP="005F01BB">
            <w:pPr>
              <w:rPr>
                <w:rFonts w:cs="Times New Roman"/>
                <w:snapToGrid w:val="0"/>
                <w:color w:val="000000"/>
                <w:szCs w:val="24"/>
              </w:rPr>
            </w:pPr>
          </w:p>
        </w:tc>
        <w:tc>
          <w:tcPr>
            <w:tcW w:w="6840" w:type="dxa"/>
            <w:tcBorders>
              <w:top w:val="nil"/>
              <w:left w:val="nil"/>
              <w:bottom w:val="nil"/>
              <w:right w:val="nil"/>
            </w:tcBorders>
          </w:tcPr>
          <w:p w:rsidR="008C5292" w:rsidRPr="005875D2" w:rsidRDefault="008C529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5875D2" w:rsidRDefault="005875D2" w:rsidP="005875D2">
      <w:pPr>
        <w:rPr>
          <w:rFonts w:cs="Times New Roman"/>
          <w:snapToGrid w:val="0"/>
          <w:color w:val="000000"/>
          <w:szCs w:val="24"/>
        </w:rPr>
      </w:pPr>
    </w:p>
    <w:p w:rsidR="005875D2" w:rsidRPr="005875D2" w:rsidRDefault="005875D2" w:rsidP="005875D2">
      <w:pPr>
        <w:rPr>
          <w:rFonts w:cs="Times New Roman"/>
          <w:snapToGrid w:val="0"/>
          <w:color w:val="000000"/>
          <w:szCs w:val="24"/>
        </w:rPr>
      </w:pPr>
    </w:p>
    <w:p w:rsidR="005875D2" w:rsidRPr="005875D2" w:rsidRDefault="005875D2" w:rsidP="008C5292">
      <w:pPr>
        <w:pStyle w:val="Naslov1"/>
        <w:numPr>
          <w:ilvl w:val="0"/>
          <w:numId w:val="7"/>
        </w:numPr>
        <w:rPr>
          <w:rFonts w:ascii="Times New Roman" w:hAnsi="Times New Roman" w:cs="Times New Roman"/>
        </w:rPr>
      </w:pPr>
      <w:bookmarkStart w:id="32" w:name="_Toc449093098"/>
      <w:r w:rsidRPr="005875D2">
        <w:rPr>
          <w:rFonts w:ascii="Times New Roman" w:hAnsi="Times New Roman" w:cs="Times New Roman"/>
        </w:rPr>
        <w:t>Spominski objekti ali kraji</w:t>
      </w:r>
      <w:bookmarkEnd w:id="32"/>
    </w:p>
    <w:p w:rsidR="005875D2" w:rsidRPr="005875D2" w:rsidRDefault="005875D2" w:rsidP="005875D2">
      <w:pPr>
        <w:rPr>
          <w:rFonts w:cs="Times New Roman"/>
          <w:snapToGrid w:val="0"/>
          <w:color w:val="000000"/>
          <w:szCs w:val="24"/>
        </w:rPr>
      </w:pPr>
    </w:p>
    <w:p w:rsidR="005875D2" w:rsidRPr="005875D2" w:rsidRDefault="005875D2" w:rsidP="005875D2">
      <w:pPr>
        <w:rPr>
          <w:rFonts w:cs="Times New Roman"/>
          <w:snapToGrid w:val="0"/>
          <w:color w:val="000000"/>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04"/>
      </w:tblGrid>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 xml:space="preserve">EŠD: </w:t>
            </w:r>
          </w:p>
        </w:tc>
        <w:tc>
          <w:tcPr>
            <w:tcW w:w="6804"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7118</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04"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33" w:name="_Toc449093099"/>
            <w:r w:rsidRPr="005875D2">
              <w:rPr>
                <w:rFonts w:ascii="Times New Roman" w:hAnsi="Times New Roman" w:cs="Times New Roman"/>
                <w:b/>
                <w:bCs/>
              </w:rPr>
              <w:t>Jurovski Dol – Kužno znamenje</w:t>
            </w:r>
            <w:bookmarkEnd w:id="33"/>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04" w:type="dxa"/>
            <w:tcBorders>
              <w:top w:val="nil"/>
              <w:left w:val="nil"/>
              <w:bottom w:val="nil"/>
              <w:right w:val="nil"/>
            </w:tcBorders>
          </w:tcPr>
          <w:p w:rsidR="005875D2" w:rsidRPr="005875D2" w:rsidRDefault="005875D2" w:rsidP="005F01BB">
            <w:pPr>
              <w:rPr>
                <w:rFonts w:cs="Times New Roman"/>
                <w:szCs w:val="24"/>
              </w:rPr>
            </w:pPr>
            <w:proofErr w:type="spellStart"/>
            <w:r w:rsidRPr="005875D2">
              <w:rPr>
                <w:rFonts w:cs="Times New Roman"/>
                <w:szCs w:val="24"/>
              </w:rPr>
              <w:t>Parc</w:t>
            </w:r>
            <w:proofErr w:type="spellEnd"/>
            <w:r w:rsidRPr="005875D2">
              <w:rPr>
                <w:rFonts w:cs="Times New Roman"/>
                <w:szCs w:val="24"/>
              </w:rPr>
              <w:t xml:space="preserve">. št. severni del 411 </w:t>
            </w:r>
            <w:proofErr w:type="spellStart"/>
            <w:r w:rsidRPr="005875D2">
              <w:rPr>
                <w:rFonts w:cs="Times New Roman"/>
                <w:szCs w:val="24"/>
              </w:rPr>
              <w:t>k.o</w:t>
            </w:r>
            <w:proofErr w:type="spellEnd"/>
            <w:r w:rsidRPr="005875D2">
              <w:rPr>
                <w:rFonts w:cs="Times New Roman"/>
                <w:szCs w:val="24"/>
              </w:rPr>
              <w:t>. Jurovski dol</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jc w:val="both"/>
              <w:rPr>
                <w:rFonts w:cs="Times New Roman"/>
                <w:snapToGrid w:val="0"/>
                <w:szCs w:val="24"/>
              </w:rPr>
            </w:pPr>
            <w:r w:rsidRPr="005875D2">
              <w:rPr>
                <w:rFonts w:cs="Times New Roman"/>
                <w:snapToGrid w:val="0"/>
                <w:szCs w:val="24"/>
              </w:rPr>
              <w:t>Utemeljitev</w:t>
            </w:r>
          </w:p>
          <w:p w:rsidR="005875D2" w:rsidRPr="005875D2" w:rsidRDefault="005875D2" w:rsidP="005F01BB">
            <w:pPr>
              <w:jc w:val="both"/>
              <w:rPr>
                <w:rFonts w:cs="Times New Roman"/>
                <w:szCs w:val="24"/>
              </w:rPr>
            </w:pPr>
            <w:r w:rsidRPr="005875D2">
              <w:rPr>
                <w:rFonts w:cs="Times New Roman"/>
                <w:snapToGrid w:val="0"/>
                <w:szCs w:val="24"/>
              </w:rPr>
              <w:t>razglasitve:</w:t>
            </w:r>
          </w:p>
        </w:tc>
        <w:tc>
          <w:tcPr>
            <w:tcW w:w="6804" w:type="dxa"/>
            <w:tcBorders>
              <w:top w:val="nil"/>
              <w:left w:val="nil"/>
              <w:bottom w:val="nil"/>
              <w:right w:val="nil"/>
            </w:tcBorders>
          </w:tcPr>
          <w:p w:rsidR="005875D2" w:rsidRPr="005875D2" w:rsidRDefault="005875D2" w:rsidP="005F01BB">
            <w:pPr>
              <w:jc w:val="both"/>
              <w:rPr>
                <w:rFonts w:cs="Times New Roman"/>
                <w:szCs w:val="24"/>
              </w:rPr>
            </w:pPr>
            <w:r w:rsidRPr="005875D2">
              <w:rPr>
                <w:rFonts w:cs="Times New Roman"/>
                <w:szCs w:val="24"/>
              </w:rPr>
              <w:t xml:space="preserve">Kužno znamenje se nahaja v neposredni bližini domačije </w:t>
            </w:r>
            <w:proofErr w:type="spellStart"/>
            <w:r w:rsidRPr="005875D2">
              <w:rPr>
                <w:rFonts w:cs="Times New Roman"/>
                <w:szCs w:val="24"/>
              </w:rPr>
              <w:t>Grager</w:t>
            </w:r>
            <w:proofErr w:type="spellEnd"/>
            <w:r w:rsidRPr="005875D2">
              <w:rPr>
                <w:rFonts w:cs="Times New Roman"/>
                <w:szCs w:val="24"/>
              </w:rPr>
              <w:t xml:space="preserve">. Stebrasto znamenje na trikotni osnovi na dveh poudarjenih pravokotnih bazah ima na vrhu </w:t>
            </w:r>
            <w:proofErr w:type="spellStart"/>
            <w:r w:rsidRPr="005875D2">
              <w:rPr>
                <w:rFonts w:cs="Times New Roman"/>
                <w:szCs w:val="24"/>
              </w:rPr>
              <w:t>tabernakljasti</w:t>
            </w:r>
            <w:proofErr w:type="spellEnd"/>
            <w:r w:rsidRPr="005875D2">
              <w:rPr>
                <w:rFonts w:cs="Times New Roman"/>
                <w:szCs w:val="24"/>
              </w:rPr>
              <w:t xml:space="preserve"> nastavek s plitvimi, polkrožno zaključenimi nišami. Na vrhu strme kamnite, piramidaste strešice je polomljen križ. </w:t>
            </w:r>
          </w:p>
          <w:p w:rsidR="005875D2" w:rsidRPr="005875D2" w:rsidRDefault="005875D2" w:rsidP="005F01BB">
            <w:pPr>
              <w:jc w:val="both"/>
              <w:rPr>
                <w:rFonts w:cs="Times New Roman"/>
                <w:szCs w:val="24"/>
              </w:rPr>
            </w:pPr>
            <w:r w:rsidRPr="005875D2">
              <w:rPr>
                <w:rFonts w:cs="Times New Roman"/>
                <w:szCs w:val="24"/>
              </w:rPr>
              <w:t xml:space="preserve">Poznobaročno slopno znamenje je bilo postavljeno leta 1676, kar izpisuje letnica na stebrastem delu znamenja. </w:t>
            </w:r>
          </w:p>
          <w:p w:rsidR="005875D2" w:rsidRPr="005875D2" w:rsidRDefault="005875D2" w:rsidP="005F01BB">
            <w:pPr>
              <w:jc w:val="both"/>
              <w:rPr>
                <w:rFonts w:cs="Times New Roman"/>
                <w:szCs w:val="24"/>
              </w:rPr>
            </w:pPr>
            <w:r w:rsidRPr="005875D2">
              <w:rPr>
                <w:rFonts w:cs="Times New Roman"/>
                <w:szCs w:val="24"/>
              </w:rPr>
              <w:t xml:space="preserve">Kužno znamenje predstavlja kvaliteten primerek obrtniškega mojstrstva, ki združuje likovne, estetske, prostorske in zgodovinske vrednote, saj je bilo postavljeno kot pomnik na epidemijo kuge, ki se je v tistem času razširila tudi v Slovenske gorice. </w:t>
            </w: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04" w:type="dxa"/>
            <w:tcBorders>
              <w:top w:val="nil"/>
              <w:left w:val="nil"/>
              <w:bottom w:val="nil"/>
              <w:right w:val="nil"/>
            </w:tcBorders>
          </w:tcPr>
          <w:p w:rsidR="005875D2" w:rsidRPr="005875D2" w:rsidRDefault="005875D2" w:rsidP="005F01BB">
            <w:pPr>
              <w:widowControl w:val="0"/>
              <w:tabs>
                <w:tab w:val="left" w:pos="566"/>
                <w:tab w:val="left" w:pos="2267"/>
              </w:tabs>
              <w:ind w:left="360"/>
              <w:jc w:val="both"/>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varovanje kulturnih, arhitekturnih, umetniških in ambientalnih vrednot v celoti, njihovi izvirnosti in neokrnjenosti ter varovanje vseh vedut na spomenik;</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podrejanje vsake rabe in vseh posegov v spomenik ohranjanju in varovanju spomeniških lastnosti;</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strokovno vzdrževanje, varovanje in obnavljanje vseh neokrnjenih prvin znamenja po načelu ohranjanja izvirnih oblik, lege, pojavnosti, materialov in okrasja;</w:t>
            </w:r>
          </w:p>
          <w:p w:rsidR="005875D2" w:rsidRPr="005875D2" w:rsidRDefault="005875D2" w:rsidP="005875D2">
            <w:pPr>
              <w:numPr>
                <w:ilvl w:val="0"/>
                <w:numId w:val="3"/>
              </w:numPr>
              <w:autoSpaceDE w:val="0"/>
              <w:autoSpaceDN w:val="0"/>
              <w:jc w:val="both"/>
              <w:rPr>
                <w:rFonts w:cs="Times New Roman"/>
                <w:szCs w:val="24"/>
              </w:rPr>
            </w:pPr>
            <w:r w:rsidRPr="005875D2">
              <w:rPr>
                <w:rFonts w:cs="Times New Roman"/>
                <w:szCs w:val="24"/>
              </w:rPr>
              <w:t>omogočanje predstavitve celote in posameznih zaščitenih elementov ter dostopnost javnosti v meri, ki ne ogroža varovanje spomenika in ne moti v njem (ob njem) odvijajoče se dejavnosti;</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na spomenik in ob njem je prepovedano postavljati nosilce infrastrukture in reklam;</w:t>
            </w:r>
          </w:p>
          <w:p w:rsidR="005875D2" w:rsidRPr="005875D2" w:rsidRDefault="005875D2" w:rsidP="005875D2">
            <w:pPr>
              <w:numPr>
                <w:ilvl w:val="0"/>
                <w:numId w:val="4"/>
              </w:numPr>
              <w:autoSpaceDE w:val="0"/>
              <w:autoSpaceDN w:val="0"/>
              <w:jc w:val="both"/>
              <w:rPr>
                <w:rFonts w:cs="Times New Roman"/>
                <w:szCs w:val="24"/>
              </w:rPr>
            </w:pPr>
            <w:r w:rsidRPr="005875D2">
              <w:rPr>
                <w:rFonts w:cs="Times New Roman"/>
                <w:szCs w:val="24"/>
              </w:rPr>
              <w:t>pri kakršnih koli posegih v tla objekta ali teren ob njegovi zunanjščini, so obvezne predhodne arheološke raziskave.</w:t>
            </w:r>
          </w:p>
          <w:p w:rsidR="005875D2" w:rsidRPr="005875D2" w:rsidRDefault="005875D2" w:rsidP="005F01BB">
            <w:pPr>
              <w:ind w:left="360"/>
              <w:jc w:val="both"/>
              <w:rPr>
                <w:rFonts w:cs="Times New Roman"/>
                <w:snapToGrid w:val="0"/>
                <w:color w:val="000000"/>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p>
        </w:tc>
        <w:tc>
          <w:tcPr>
            <w:tcW w:w="6804"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blPrEx>
          <w:tblCellMar>
            <w:top w:w="0" w:type="dxa"/>
            <w:bottom w:w="0" w:type="dxa"/>
          </w:tblCellMar>
        </w:tblPrEx>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04"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 2880</w:t>
            </w:r>
          </w:p>
        </w:tc>
      </w:tr>
    </w:tbl>
    <w:p w:rsidR="005875D2" w:rsidRPr="005875D2" w:rsidRDefault="005875D2" w:rsidP="005875D2">
      <w:pPr>
        <w:rPr>
          <w:rFonts w:cs="Times New Roman"/>
          <w:snapToGrid w:val="0"/>
          <w:color w:val="000000"/>
          <w:szCs w:val="24"/>
        </w:rPr>
      </w:pPr>
    </w:p>
    <w:p w:rsidR="005875D2" w:rsidRDefault="005875D2" w:rsidP="005875D2">
      <w:pPr>
        <w:rPr>
          <w:rFonts w:cs="Times New Roman"/>
          <w:snapToGrid w:val="0"/>
          <w:color w:val="000000"/>
          <w:szCs w:val="24"/>
        </w:rPr>
      </w:pPr>
    </w:p>
    <w:p w:rsidR="008C5292" w:rsidRDefault="008C5292" w:rsidP="005875D2">
      <w:pPr>
        <w:rPr>
          <w:rFonts w:cs="Times New Roman"/>
          <w:snapToGrid w:val="0"/>
          <w:color w:val="000000"/>
          <w:szCs w:val="24"/>
        </w:rPr>
      </w:pPr>
    </w:p>
    <w:p w:rsidR="008C5292" w:rsidRPr="005875D2" w:rsidRDefault="008C5292" w:rsidP="005875D2">
      <w:pPr>
        <w:rPr>
          <w:rFonts w:cs="Times New Roman"/>
          <w:snapToGrid w:val="0"/>
          <w:color w:val="000000"/>
          <w:szCs w:val="24"/>
        </w:rPr>
      </w:pPr>
    </w:p>
    <w:p w:rsidR="005875D2" w:rsidRPr="005875D2" w:rsidRDefault="005875D2" w:rsidP="008C5292">
      <w:pPr>
        <w:pStyle w:val="Naslov1"/>
        <w:numPr>
          <w:ilvl w:val="0"/>
          <w:numId w:val="7"/>
        </w:numPr>
        <w:rPr>
          <w:rFonts w:ascii="Times New Roman" w:hAnsi="Times New Roman" w:cs="Times New Roman"/>
        </w:rPr>
      </w:pPr>
      <w:bookmarkStart w:id="34" w:name="_Toc449093100"/>
      <w:r w:rsidRPr="005875D2">
        <w:rPr>
          <w:rFonts w:ascii="Times New Roman" w:hAnsi="Times New Roman" w:cs="Times New Roman"/>
        </w:rPr>
        <w:t>Naselja in njihovi deli</w:t>
      </w:r>
      <w:bookmarkEnd w:id="34"/>
    </w:p>
    <w:p w:rsidR="005875D2" w:rsidRPr="005875D2" w:rsidRDefault="005875D2" w:rsidP="005875D2">
      <w:pPr>
        <w:rPr>
          <w:rFonts w:cs="Times New Roman"/>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268"/>
        <w:gridCol w:w="6840"/>
      </w:tblGrid>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EŠD:</w:t>
            </w:r>
          </w:p>
        </w:tc>
        <w:tc>
          <w:tcPr>
            <w:tcW w:w="6840" w:type="dxa"/>
            <w:tcBorders>
              <w:top w:val="nil"/>
              <w:left w:val="nil"/>
              <w:bottom w:val="nil"/>
              <w:right w:val="nil"/>
            </w:tcBorders>
          </w:tcPr>
          <w:p w:rsidR="005875D2" w:rsidRPr="005875D2" w:rsidRDefault="005875D2" w:rsidP="005F01BB">
            <w:pPr>
              <w:rPr>
                <w:rFonts w:cs="Times New Roman"/>
                <w:b/>
                <w:szCs w:val="24"/>
              </w:rPr>
            </w:pPr>
            <w:r w:rsidRPr="005875D2">
              <w:rPr>
                <w:rFonts w:cs="Times New Roman"/>
                <w:b/>
                <w:szCs w:val="24"/>
              </w:rPr>
              <w:t>7088</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Ime enote:</w:t>
            </w:r>
          </w:p>
        </w:tc>
        <w:tc>
          <w:tcPr>
            <w:tcW w:w="6840" w:type="dxa"/>
            <w:tcBorders>
              <w:top w:val="nil"/>
              <w:left w:val="nil"/>
              <w:bottom w:val="nil"/>
              <w:right w:val="nil"/>
            </w:tcBorders>
          </w:tcPr>
          <w:p w:rsidR="005875D2" w:rsidRPr="005875D2" w:rsidRDefault="005875D2" w:rsidP="005F01BB">
            <w:pPr>
              <w:pStyle w:val="Naslov2"/>
              <w:rPr>
                <w:rFonts w:ascii="Times New Roman" w:hAnsi="Times New Roman" w:cs="Times New Roman"/>
                <w:b/>
                <w:bCs/>
              </w:rPr>
            </w:pPr>
            <w:bookmarkStart w:id="35" w:name="_Toc449093101"/>
            <w:r w:rsidRPr="005875D2">
              <w:rPr>
                <w:rFonts w:ascii="Times New Roman" w:hAnsi="Times New Roman" w:cs="Times New Roman"/>
                <w:b/>
                <w:bCs/>
              </w:rPr>
              <w:t>Jurovski Dol – Vaško jedro</w:t>
            </w:r>
            <w:bookmarkEnd w:id="35"/>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Lokacija:</w:t>
            </w:r>
          </w:p>
        </w:tc>
        <w:tc>
          <w:tcPr>
            <w:tcW w:w="6840" w:type="dxa"/>
            <w:tcBorders>
              <w:top w:val="nil"/>
              <w:left w:val="nil"/>
              <w:bottom w:val="nil"/>
              <w:right w:val="nil"/>
            </w:tcBorders>
          </w:tcPr>
          <w:p w:rsidR="005875D2" w:rsidRPr="005875D2" w:rsidRDefault="005875D2" w:rsidP="005F01BB">
            <w:pPr>
              <w:widowControl w:val="0"/>
              <w:adjustRightInd w:val="0"/>
              <w:rPr>
                <w:rFonts w:cs="Times New Roman"/>
                <w:color w:val="000000"/>
                <w:szCs w:val="24"/>
              </w:rPr>
            </w:pPr>
            <w:proofErr w:type="spellStart"/>
            <w:r w:rsidRPr="005875D2">
              <w:rPr>
                <w:rFonts w:cs="Times New Roman"/>
                <w:color w:val="000000"/>
                <w:szCs w:val="24"/>
              </w:rPr>
              <w:t>Parc.št</w:t>
            </w:r>
            <w:proofErr w:type="spellEnd"/>
            <w:r w:rsidRPr="005875D2">
              <w:rPr>
                <w:rFonts w:cs="Times New Roman"/>
                <w:color w:val="000000"/>
                <w:szCs w:val="24"/>
              </w:rPr>
              <w:t>. *106, *109, *2/1, *2/3, *3, *7, *90, *98, 1/1, 1/2, 1/3, 1/4, 1/5, 17/1, 17/2, 17/3, 17/4, 17/5, 18, 19/1, 19/2, 19/9, 3/1,  3/2,  3/3, 367/1, 367/2, 369/1, 369/4, 369/5, 369/7, 369/8, 371/10, 371/11, 371/12, 371/3, 371/5, 371/7, 371/9, J del 372/1, 372/2, 373/2, 374, 376/1, 376/2, 378/1, 378/2, 379/2, 379/3, 379/4, 379/5,</w:t>
            </w:r>
          </w:p>
          <w:p w:rsidR="005875D2" w:rsidRPr="005875D2" w:rsidRDefault="005875D2" w:rsidP="005F01BB">
            <w:pPr>
              <w:widowControl w:val="0"/>
              <w:adjustRightInd w:val="0"/>
              <w:rPr>
                <w:rFonts w:cs="Times New Roman"/>
                <w:color w:val="000000"/>
                <w:szCs w:val="24"/>
              </w:rPr>
            </w:pPr>
            <w:r w:rsidRPr="005875D2">
              <w:rPr>
                <w:rFonts w:cs="Times New Roman"/>
                <w:color w:val="000000"/>
                <w:szCs w:val="24"/>
              </w:rPr>
              <w:t xml:space="preserve">380/1, 380/2, 380/3, 380/4, 381, 382/2, 384/4, 383/1, 4/1, 5/1, 5/2, 5/3, 5/4, V del 528/1, S del 538, S del 541/. J del 543/1, 543/10, 543/11, 543/8, 543/, 543/9  </w:t>
            </w:r>
            <w:proofErr w:type="spellStart"/>
            <w:r w:rsidRPr="005875D2">
              <w:rPr>
                <w:rFonts w:cs="Times New Roman"/>
                <w:color w:val="000000"/>
                <w:szCs w:val="24"/>
              </w:rPr>
              <w:t>k.o</w:t>
            </w:r>
            <w:proofErr w:type="spellEnd"/>
            <w:r w:rsidRPr="005875D2">
              <w:rPr>
                <w:rFonts w:cs="Times New Roman"/>
                <w:color w:val="000000"/>
                <w:szCs w:val="24"/>
              </w:rPr>
              <w:t>. Jurovski dol</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Utemeljitev</w:t>
            </w:r>
          </w:p>
          <w:p w:rsidR="005875D2" w:rsidRPr="005875D2" w:rsidRDefault="005875D2" w:rsidP="005F01BB">
            <w:pPr>
              <w:rPr>
                <w:rFonts w:cs="Times New Roman"/>
                <w:szCs w:val="24"/>
              </w:rPr>
            </w:pPr>
            <w:r w:rsidRPr="005875D2">
              <w:rPr>
                <w:rFonts w:cs="Times New Roman"/>
                <w:snapToGrid w:val="0"/>
                <w:color w:val="000000"/>
                <w:szCs w:val="24"/>
              </w:rPr>
              <w:t>razglasitve:</w:t>
            </w:r>
          </w:p>
        </w:tc>
        <w:tc>
          <w:tcPr>
            <w:tcW w:w="6840" w:type="dxa"/>
            <w:tcBorders>
              <w:top w:val="nil"/>
              <w:left w:val="nil"/>
              <w:bottom w:val="nil"/>
              <w:right w:val="nil"/>
            </w:tcBorders>
          </w:tcPr>
          <w:p w:rsidR="005875D2" w:rsidRPr="005875D2" w:rsidRDefault="005875D2" w:rsidP="005F01BB">
            <w:pPr>
              <w:jc w:val="both"/>
              <w:rPr>
                <w:rFonts w:cs="Times New Roman"/>
                <w:color w:val="000000"/>
                <w:szCs w:val="24"/>
              </w:rPr>
            </w:pPr>
            <w:r w:rsidRPr="005875D2">
              <w:rPr>
                <w:rFonts w:cs="Times New Roman"/>
                <w:color w:val="000000"/>
                <w:szCs w:val="24"/>
              </w:rPr>
              <w:t xml:space="preserve">Naselje Jurij, kot ga še danes ljudje imenujejo, je razpotegnejo v dolini potoka </w:t>
            </w:r>
            <w:proofErr w:type="spellStart"/>
            <w:r w:rsidRPr="005875D2">
              <w:rPr>
                <w:rFonts w:cs="Times New Roman"/>
                <w:color w:val="000000"/>
                <w:szCs w:val="24"/>
              </w:rPr>
              <w:t>Globovnice</w:t>
            </w:r>
            <w:proofErr w:type="spellEnd"/>
            <w:r w:rsidRPr="005875D2">
              <w:rPr>
                <w:rFonts w:cs="Times New Roman"/>
                <w:color w:val="000000"/>
                <w:szCs w:val="24"/>
              </w:rPr>
              <w:t xml:space="preserve"> v severovzhodnem delu Slovenskih goric. Gručasto  jedro naselja se je razvilo ob cerkvi sv. Jurija z nadstropnimi stavbami župnišča, Slomškove hiše - prve šole, kulturnega doma in gostilne </w:t>
            </w:r>
            <w:proofErr w:type="spellStart"/>
            <w:r w:rsidRPr="005875D2">
              <w:rPr>
                <w:rFonts w:cs="Times New Roman"/>
                <w:color w:val="000000"/>
                <w:szCs w:val="24"/>
              </w:rPr>
              <w:t>Špingler</w:t>
            </w:r>
            <w:proofErr w:type="spellEnd"/>
            <w:r w:rsidRPr="005875D2">
              <w:rPr>
                <w:rFonts w:cs="Times New Roman"/>
                <w:color w:val="000000"/>
                <w:szCs w:val="24"/>
              </w:rPr>
              <w:t xml:space="preserve">, ki oblikujejo trg ter s pritličnimi stavbami nekdanje </w:t>
            </w:r>
            <w:proofErr w:type="spellStart"/>
            <w:r w:rsidRPr="005875D2">
              <w:rPr>
                <w:rFonts w:cs="Times New Roman"/>
                <w:color w:val="000000"/>
                <w:szCs w:val="24"/>
              </w:rPr>
              <w:t>Vrglezeve</w:t>
            </w:r>
            <w:proofErr w:type="spellEnd"/>
            <w:r w:rsidRPr="005875D2">
              <w:rPr>
                <w:rFonts w:cs="Times New Roman"/>
                <w:color w:val="000000"/>
                <w:szCs w:val="24"/>
              </w:rPr>
              <w:t xml:space="preserve"> gostilne in trafike, gospodarskega poslopja župnišča ter danes propadajoče hiše nekdanje gostilne Krajnc in trgovine Bauman, ki se vrstijo ob cesti, ki obkroža trg na zahodni strani. Niz zaključuje enonadstropna šola.</w:t>
            </w:r>
          </w:p>
          <w:p w:rsidR="005875D2" w:rsidRPr="005875D2" w:rsidRDefault="005875D2" w:rsidP="005F01BB">
            <w:pPr>
              <w:jc w:val="both"/>
              <w:rPr>
                <w:rFonts w:cs="Times New Roman"/>
                <w:snapToGrid w:val="0"/>
                <w:color w:val="000000"/>
                <w:szCs w:val="24"/>
              </w:rPr>
            </w:pPr>
            <w:r w:rsidRPr="005875D2">
              <w:rPr>
                <w:rFonts w:cs="Times New Roman"/>
                <w:snapToGrid w:val="0"/>
                <w:color w:val="000000"/>
                <w:szCs w:val="24"/>
              </w:rPr>
              <w:t xml:space="preserve">Dominanta naselja je gotska cerkev z mogočnim zvonikom, renesančnim portalom in baročnima kapelama z oltarji J. </w:t>
            </w:r>
            <w:proofErr w:type="spellStart"/>
            <w:r w:rsidRPr="005875D2">
              <w:rPr>
                <w:rFonts w:cs="Times New Roman"/>
                <w:snapToGrid w:val="0"/>
                <w:color w:val="000000"/>
                <w:szCs w:val="24"/>
              </w:rPr>
              <w:t>Holzingerja</w:t>
            </w:r>
            <w:proofErr w:type="spellEnd"/>
            <w:r w:rsidRPr="005875D2">
              <w:rPr>
                <w:rFonts w:cs="Times New Roman"/>
                <w:snapToGrid w:val="0"/>
                <w:color w:val="000000"/>
                <w:szCs w:val="24"/>
              </w:rPr>
              <w:t>. Vzhodno od cerkve je staro pokopališče, obdano s kamnitim obzidjem.</w:t>
            </w:r>
          </w:p>
          <w:p w:rsidR="005875D2" w:rsidRPr="005875D2" w:rsidRDefault="005875D2" w:rsidP="005F01BB">
            <w:pPr>
              <w:jc w:val="both"/>
              <w:rPr>
                <w:rFonts w:cs="Times New Roman"/>
                <w:snapToGrid w:val="0"/>
                <w:color w:val="000000"/>
                <w:szCs w:val="24"/>
              </w:rPr>
            </w:pPr>
            <w:r w:rsidRPr="005875D2">
              <w:rPr>
                <w:rFonts w:cs="Times New Roman"/>
                <w:color w:val="000000"/>
                <w:szCs w:val="24"/>
              </w:rPr>
              <w:t>Gručasto jedro naselja je kvalitetna vaška aglomeracija župne cerkve, namenskih objektov trškega videza in kmečkih domačij.</w:t>
            </w:r>
            <w:r w:rsidRPr="005875D2">
              <w:rPr>
                <w:rFonts w:cs="Times New Roman"/>
                <w:snapToGrid w:val="0"/>
                <w:color w:val="000000"/>
                <w:szCs w:val="24"/>
              </w:rPr>
              <w:t xml:space="preserve"> Cerkev izvira iz 16. stoletja, ostala  poslopja so iz 18.,19. in 20. stoletja. </w:t>
            </w:r>
          </w:p>
          <w:p w:rsidR="005875D2" w:rsidRPr="005875D2" w:rsidRDefault="005875D2" w:rsidP="005F01BB">
            <w:pPr>
              <w:rPr>
                <w:rFonts w:cs="Times New Roman"/>
                <w:color w:val="000000"/>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napToGrid w:val="0"/>
                <w:color w:val="000000"/>
                <w:szCs w:val="24"/>
              </w:rPr>
            </w:pPr>
            <w:r w:rsidRPr="005875D2">
              <w:rPr>
                <w:rFonts w:cs="Times New Roman"/>
                <w:snapToGrid w:val="0"/>
                <w:color w:val="000000"/>
                <w:szCs w:val="24"/>
              </w:rPr>
              <w:t>Opis varstvenega</w:t>
            </w:r>
          </w:p>
          <w:p w:rsidR="005875D2" w:rsidRPr="005875D2" w:rsidRDefault="005875D2" w:rsidP="005F01BB">
            <w:pPr>
              <w:rPr>
                <w:rFonts w:cs="Times New Roman"/>
                <w:szCs w:val="24"/>
              </w:rPr>
            </w:pPr>
            <w:r w:rsidRPr="005875D2">
              <w:rPr>
                <w:rFonts w:cs="Times New Roman"/>
                <w:snapToGrid w:val="0"/>
                <w:color w:val="000000"/>
                <w:szCs w:val="24"/>
              </w:rPr>
              <w:t>režima:</w:t>
            </w:r>
          </w:p>
        </w:tc>
        <w:tc>
          <w:tcPr>
            <w:tcW w:w="6840" w:type="dxa"/>
            <w:tcBorders>
              <w:top w:val="nil"/>
              <w:left w:val="nil"/>
              <w:bottom w:val="nil"/>
              <w:right w:val="nil"/>
            </w:tcBorders>
          </w:tcPr>
          <w:p w:rsidR="005875D2" w:rsidRPr="005875D2" w:rsidRDefault="005875D2" w:rsidP="005F01BB">
            <w:pPr>
              <w:widowControl w:val="0"/>
              <w:tabs>
                <w:tab w:val="left" w:pos="566"/>
                <w:tab w:val="left" w:pos="2267"/>
              </w:tabs>
              <w:rPr>
                <w:rFonts w:cs="Times New Roman"/>
                <w:snapToGrid w:val="0"/>
                <w:color w:val="000000"/>
                <w:szCs w:val="24"/>
              </w:rPr>
            </w:pPr>
            <w:r w:rsidRPr="005875D2">
              <w:rPr>
                <w:rFonts w:cs="Times New Roman"/>
                <w:snapToGrid w:val="0"/>
                <w:color w:val="000000"/>
                <w:szCs w:val="24"/>
              </w:rPr>
              <w:t>Za spomenik velja varstveni režim, ki določa:</w:t>
            </w:r>
          </w:p>
          <w:p w:rsidR="005875D2" w:rsidRPr="005875D2" w:rsidRDefault="005875D2" w:rsidP="005F01BB">
            <w:pPr>
              <w:widowControl w:val="0"/>
              <w:tabs>
                <w:tab w:val="left" w:pos="567"/>
                <w:tab w:val="left" w:pos="2267"/>
              </w:tabs>
              <w:rPr>
                <w:rFonts w:cs="Times New Roman"/>
                <w:snapToGrid w:val="0"/>
                <w:color w:val="000000"/>
                <w:szCs w:val="24"/>
              </w:rPr>
            </w:pPr>
            <w:r w:rsidRPr="005875D2">
              <w:rPr>
                <w:rFonts w:cs="Times New Roman"/>
                <w:snapToGrid w:val="0"/>
                <w:color w:val="000000"/>
                <w:szCs w:val="24"/>
              </w:rPr>
              <w:t>- varovanje kulturnozgodovinskih, urbanističnih, arhitekturnih, etnoloških, umetnostno zgodovinskih in krajinskih vrednot v celoti, njihovi izvirnosti in neokrnjenosti;</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strokovno vzdrževanje in ohranjanje vseh neokrnjenih urbanističnih prvin: ohranjanje značilne tlorisne zasnove in parcelacije, zazidalni raster, tlorisne in višinske gabarite, historično obliko stavb in streh, nepozidane in zelene površine;</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podrejanje vsake rabe in posegov v spomeniško območje, v fasade, strehe in tlorise stavb ohranjanju in varovanju spomeniških lastnosti in spomeniške pričevalnosti območja;</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novogradnje, nadzidave in adaptacije so dovoljene le z namenom sanirati in rekonstruirati spomeniško območje in njegove dele;</w:t>
            </w:r>
          </w:p>
          <w:p w:rsidR="005875D2" w:rsidRPr="005875D2" w:rsidRDefault="005875D2" w:rsidP="005F01BB">
            <w:pPr>
              <w:widowControl w:val="0"/>
              <w:tabs>
                <w:tab w:val="left" w:pos="2267"/>
              </w:tabs>
              <w:rPr>
                <w:rFonts w:cs="Times New Roman"/>
                <w:snapToGrid w:val="0"/>
                <w:color w:val="000000"/>
                <w:szCs w:val="24"/>
              </w:rPr>
            </w:pPr>
            <w:r w:rsidRPr="005875D2">
              <w:rPr>
                <w:rFonts w:cs="Times New Roman"/>
                <w:snapToGrid w:val="0"/>
                <w:color w:val="000000"/>
                <w:szCs w:val="24"/>
              </w:rPr>
              <w:t>- sestavni del urbanistične zasnove zavarovanega območja so tudi zelene površine, ki se morajo ohranjati v nespremenjenem obsegu in obliki - možno je redno vzdrževanje in nadomestne saditve;</w:t>
            </w:r>
          </w:p>
          <w:p w:rsidR="005875D2" w:rsidRPr="005875D2" w:rsidRDefault="005875D2" w:rsidP="005F01BB">
            <w:pPr>
              <w:rPr>
                <w:rFonts w:cs="Times New Roman"/>
                <w:szCs w:val="24"/>
              </w:rPr>
            </w:pPr>
            <w:r w:rsidRPr="005875D2">
              <w:rPr>
                <w:rFonts w:cs="Times New Roman"/>
                <w:snapToGrid w:val="0"/>
                <w:color w:val="000000"/>
                <w:szCs w:val="24"/>
              </w:rPr>
              <w:lastRenderedPageBreak/>
              <w:t>- posegi v zaščiteno namembnost, tlorise in gabarite so možni zgolj v okviru  vzdrževalnih posegov, ki pa morajo biti enotno zasnovani in izvedeni.</w:t>
            </w: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p>
        </w:tc>
        <w:tc>
          <w:tcPr>
            <w:tcW w:w="6840" w:type="dxa"/>
            <w:tcBorders>
              <w:top w:val="nil"/>
              <w:left w:val="nil"/>
              <w:bottom w:val="nil"/>
              <w:right w:val="nil"/>
            </w:tcBorders>
          </w:tcPr>
          <w:p w:rsidR="005875D2" w:rsidRPr="005875D2" w:rsidRDefault="005875D2" w:rsidP="005F01BB">
            <w:pPr>
              <w:rPr>
                <w:rFonts w:cs="Times New Roman"/>
                <w:szCs w:val="24"/>
              </w:rPr>
            </w:pPr>
          </w:p>
        </w:tc>
      </w:tr>
      <w:tr w:rsidR="005875D2" w:rsidRPr="005875D2" w:rsidTr="005F01BB">
        <w:tc>
          <w:tcPr>
            <w:tcW w:w="2268"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napToGrid w:val="0"/>
                <w:color w:val="000000"/>
                <w:szCs w:val="24"/>
              </w:rPr>
              <w:t>Merilo:</w:t>
            </w:r>
          </w:p>
        </w:tc>
        <w:tc>
          <w:tcPr>
            <w:tcW w:w="6840" w:type="dxa"/>
            <w:tcBorders>
              <w:top w:val="nil"/>
              <w:left w:val="nil"/>
              <w:bottom w:val="nil"/>
              <w:right w:val="nil"/>
            </w:tcBorders>
          </w:tcPr>
          <w:p w:rsidR="005875D2" w:rsidRPr="005875D2" w:rsidRDefault="005875D2" w:rsidP="005F01BB">
            <w:pPr>
              <w:rPr>
                <w:rFonts w:cs="Times New Roman"/>
                <w:szCs w:val="24"/>
              </w:rPr>
            </w:pPr>
            <w:r w:rsidRPr="005875D2">
              <w:rPr>
                <w:rFonts w:cs="Times New Roman"/>
                <w:szCs w:val="24"/>
              </w:rPr>
              <w:t>M = 1:2880</w:t>
            </w:r>
          </w:p>
        </w:tc>
      </w:tr>
    </w:tbl>
    <w:p w:rsidR="005875D2" w:rsidRPr="00FD1F9A" w:rsidRDefault="005875D2" w:rsidP="00FD1F9A">
      <w:pPr>
        <w:pStyle w:val="Odstavekseznama"/>
        <w:ind w:left="0"/>
      </w:pPr>
    </w:p>
    <w:p w:rsidR="00FD1F9A" w:rsidRDefault="00FD1F9A" w:rsidP="00FD1F9A">
      <w:pPr>
        <w:pStyle w:val="Odstavekseznama"/>
        <w:rPr>
          <w:b/>
        </w:rPr>
      </w:pPr>
    </w:p>
    <w:p w:rsidR="005875D2" w:rsidRDefault="005875D2" w:rsidP="005875D2">
      <w:pPr>
        <w:pStyle w:val="Odstavekseznama"/>
        <w:numPr>
          <w:ilvl w:val="0"/>
          <w:numId w:val="1"/>
        </w:numPr>
        <w:jc w:val="center"/>
        <w:rPr>
          <w:b/>
        </w:rPr>
      </w:pPr>
      <w:r>
        <w:rPr>
          <w:b/>
        </w:rPr>
        <w:t>č</w:t>
      </w:r>
      <w:r w:rsidR="00FD1F9A">
        <w:rPr>
          <w:b/>
        </w:rPr>
        <w:t>len</w:t>
      </w:r>
    </w:p>
    <w:p w:rsidR="005875D2" w:rsidRDefault="008C5292" w:rsidP="008C5292">
      <w:pPr>
        <w:jc w:val="both"/>
      </w:pPr>
      <w:r w:rsidRPr="008C5292">
        <w:t xml:space="preserve">Za vsako </w:t>
      </w:r>
      <w:r>
        <w:t xml:space="preserve">spremembo funkcije spomenika ali njegovega dela in za vsak poseg v spomenik, njegove dele ali zemljišče, so potrebno predhodni </w:t>
      </w:r>
      <w:proofErr w:type="spellStart"/>
      <w:r>
        <w:t>kulturnovarstveni</w:t>
      </w:r>
      <w:proofErr w:type="spellEnd"/>
      <w:r>
        <w:t xml:space="preserve"> pogoji in na njihovi podlagi </w:t>
      </w:r>
      <w:proofErr w:type="spellStart"/>
      <w:r>
        <w:t>kulturnovarstveno</w:t>
      </w:r>
      <w:proofErr w:type="spellEnd"/>
      <w:r>
        <w:t xml:space="preserve"> soglasje zavoda. </w:t>
      </w:r>
    </w:p>
    <w:p w:rsidR="008C5292" w:rsidRPr="008C5292" w:rsidRDefault="008C5292" w:rsidP="008C5292">
      <w:pPr>
        <w:jc w:val="both"/>
      </w:pPr>
    </w:p>
    <w:p w:rsidR="00FD1F9A" w:rsidRDefault="00FD1F9A" w:rsidP="00FD1F9A">
      <w:pPr>
        <w:pStyle w:val="Odstavekseznama"/>
        <w:numPr>
          <w:ilvl w:val="0"/>
          <w:numId w:val="1"/>
        </w:numPr>
        <w:jc w:val="center"/>
        <w:rPr>
          <w:b/>
        </w:rPr>
      </w:pPr>
      <w:r>
        <w:rPr>
          <w:b/>
        </w:rPr>
        <w:t>člen</w:t>
      </w:r>
    </w:p>
    <w:p w:rsidR="005875D2" w:rsidRDefault="008C5292" w:rsidP="00FE6ABA">
      <w:pPr>
        <w:pStyle w:val="Odstavekseznama"/>
        <w:ind w:left="0"/>
        <w:jc w:val="both"/>
      </w:pPr>
      <w:r>
        <w:t xml:space="preserve">Podrobnejše pogoje za raziskovanje, način vzdrževanja, pogoje za posege, fizično varovanje, pravni promet, način upravljanja in rabe spomenika, dostopnost spomenika za javnost in časovne okvire dostopnosti ter posamezne druge ukrepe določa zakon. </w:t>
      </w:r>
    </w:p>
    <w:p w:rsidR="008C5292" w:rsidRDefault="008C5292" w:rsidP="008C5292">
      <w:pPr>
        <w:pStyle w:val="Odstavekseznama"/>
        <w:ind w:left="0"/>
      </w:pPr>
    </w:p>
    <w:p w:rsidR="008C5292" w:rsidRDefault="008C5292" w:rsidP="008C5292">
      <w:pPr>
        <w:pStyle w:val="Odstavekseznama"/>
        <w:ind w:left="0"/>
      </w:pPr>
      <w:r>
        <w:t xml:space="preserve">Varstveni režim lahko omejuje lastninsko pravico na spomeniku le v obsegu, ki je nujen za izvajanje varstva spomenika. </w:t>
      </w:r>
    </w:p>
    <w:p w:rsidR="008C5292" w:rsidRPr="008C5292" w:rsidRDefault="008C5292" w:rsidP="008C5292">
      <w:pPr>
        <w:pStyle w:val="Odstavekseznama"/>
        <w:ind w:left="0"/>
      </w:pPr>
    </w:p>
    <w:p w:rsidR="005875D2" w:rsidRDefault="005875D2" w:rsidP="005875D2">
      <w:pPr>
        <w:pStyle w:val="Odstavekseznama"/>
        <w:rPr>
          <w:b/>
        </w:rPr>
      </w:pPr>
    </w:p>
    <w:p w:rsidR="00FD1F9A" w:rsidRDefault="008C5292" w:rsidP="00FD1F9A">
      <w:pPr>
        <w:pStyle w:val="Odstavekseznama"/>
        <w:numPr>
          <w:ilvl w:val="0"/>
          <w:numId w:val="1"/>
        </w:numPr>
        <w:jc w:val="center"/>
        <w:rPr>
          <w:b/>
        </w:rPr>
      </w:pPr>
      <w:r>
        <w:rPr>
          <w:b/>
        </w:rPr>
        <w:t>č</w:t>
      </w:r>
      <w:r w:rsidR="00FD1F9A">
        <w:rPr>
          <w:b/>
        </w:rPr>
        <w:t>len</w:t>
      </w:r>
    </w:p>
    <w:p w:rsidR="008C5292" w:rsidRDefault="001818AD" w:rsidP="008C5292">
      <w:pPr>
        <w:jc w:val="both"/>
      </w:pPr>
      <w:r>
        <w:t xml:space="preserve">Meje območij kulturnih spomenikov in njihovih vplivnih območij so vrisane na digitalnem katastrskem načrtu v merilih 1:1000 in 1:2880, prav tako so prikazane v preglednem katastrskem načrtu v merilu 1:5000. </w:t>
      </w:r>
    </w:p>
    <w:p w:rsidR="001818AD" w:rsidRDefault="001818AD" w:rsidP="008C5292">
      <w:pPr>
        <w:jc w:val="both"/>
      </w:pPr>
    </w:p>
    <w:p w:rsidR="001818AD" w:rsidRPr="008C5292" w:rsidRDefault="001818AD" w:rsidP="008C5292">
      <w:pPr>
        <w:jc w:val="both"/>
      </w:pPr>
      <w:r>
        <w:t xml:space="preserve">Izvirnike načrtov, ki so sestavni del tega odloka, hranita zavod in občina. </w:t>
      </w:r>
    </w:p>
    <w:p w:rsidR="005875D2" w:rsidRDefault="005875D2" w:rsidP="005875D2">
      <w:pPr>
        <w:pStyle w:val="Odstavekseznama"/>
        <w:rPr>
          <w:b/>
        </w:rPr>
      </w:pPr>
    </w:p>
    <w:p w:rsidR="00D6614E" w:rsidRDefault="00D6614E" w:rsidP="005875D2">
      <w:pPr>
        <w:pStyle w:val="Odstavekseznama"/>
        <w:rPr>
          <w:b/>
        </w:rPr>
      </w:pPr>
    </w:p>
    <w:p w:rsidR="00FD1F9A" w:rsidRDefault="00FD1F9A" w:rsidP="00FD1F9A">
      <w:pPr>
        <w:pStyle w:val="Odstavekseznama"/>
        <w:numPr>
          <w:ilvl w:val="0"/>
          <w:numId w:val="1"/>
        </w:numPr>
        <w:jc w:val="center"/>
        <w:rPr>
          <w:b/>
        </w:rPr>
      </w:pPr>
      <w:r>
        <w:rPr>
          <w:b/>
        </w:rPr>
        <w:t>člen</w:t>
      </w:r>
    </w:p>
    <w:p w:rsidR="005875D2" w:rsidRDefault="001818AD" w:rsidP="001818AD">
      <w:pPr>
        <w:pStyle w:val="Odstavekseznama"/>
        <w:ind w:left="0"/>
        <w:jc w:val="both"/>
      </w:pPr>
      <w:r>
        <w:t xml:space="preserve">Pravni status nepremičnega kulturnega spomenika se zaznamuje v zemljiški knjigi kot zaznamba na podlagi tega odloka. </w:t>
      </w:r>
    </w:p>
    <w:p w:rsidR="001818AD" w:rsidRDefault="001818AD" w:rsidP="001818AD">
      <w:pPr>
        <w:pStyle w:val="Odstavekseznama"/>
        <w:ind w:left="0"/>
        <w:jc w:val="both"/>
      </w:pPr>
    </w:p>
    <w:p w:rsidR="001818AD" w:rsidRPr="001818AD" w:rsidRDefault="001818AD" w:rsidP="001818AD">
      <w:pPr>
        <w:pStyle w:val="Odstavekseznama"/>
        <w:ind w:left="0"/>
        <w:jc w:val="both"/>
      </w:pPr>
      <w:r>
        <w:t>Pristojno sodišče po uradni dolžnosti zaznamuje v zemljiški knjigi status kulturnega spomenika na parcelah, navedenih v 4. členu tega odloka.</w:t>
      </w:r>
    </w:p>
    <w:p w:rsidR="005875D2" w:rsidRDefault="005875D2" w:rsidP="005875D2">
      <w:pPr>
        <w:pStyle w:val="Odstavekseznama"/>
        <w:rPr>
          <w:b/>
        </w:rPr>
      </w:pPr>
    </w:p>
    <w:p w:rsidR="001818AD" w:rsidRDefault="001818AD" w:rsidP="005875D2">
      <w:pPr>
        <w:pStyle w:val="Odstavekseznama"/>
        <w:rPr>
          <w:b/>
        </w:rPr>
      </w:pPr>
    </w:p>
    <w:p w:rsidR="00FD1F9A" w:rsidRDefault="00FD1F9A" w:rsidP="00FD1F9A">
      <w:pPr>
        <w:pStyle w:val="Odstavekseznama"/>
        <w:numPr>
          <w:ilvl w:val="0"/>
          <w:numId w:val="1"/>
        </w:numPr>
        <w:jc w:val="center"/>
        <w:rPr>
          <w:b/>
        </w:rPr>
      </w:pPr>
      <w:r>
        <w:rPr>
          <w:b/>
        </w:rPr>
        <w:t>člen</w:t>
      </w:r>
    </w:p>
    <w:p w:rsidR="005875D2" w:rsidRDefault="001818AD" w:rsidP="001818AD">
      <w:pPr>
        <w:pStyle w:val="Odstavekseznama"/>
        <w:ind w:left="0"/>
        <w:jc w:val="both"/>
      </w:pPr>
      <w:r>
        <w:t xml:space="preserve">Nadzor nad izvajanjem tega odloka izvaja inšpektor, pristojen za kulturno dediščino. </w:t>
      </w:r>
    </w:p>
    <w:p w:rsidR="001818AD" w:rsidRDefault="001818AD" w:rsidP="001818AD">
      <w:pPr>
        <w:pStyle w:val="Odstavekseznama"/>
        <w:ind w:left="0"/>
        <w:jc w:val="both"/>
      </w:pPr>
    </w:p>
    <w:p w:rsidR="00D6614E" w:rsidRPr="001818AD" w:rsidRDefault="00D6614E" w:rsidP="001818AD">
      <w:pPr>
        <w:pStyle w:val="Odstavekseznama"/>
        <w:ind w:left="0"/>
        <w:jc w:val="both"/>
      </w:pPr>
    </w:p>
    <w:p w:rsidR="00FD1F9A" w:rsidRDefault="001818AD" w:rsidP="00FD1F9A">
      <w:pPr>
        <w:pStyle w:val="Odstavekseznama"/>
        <w:numPr>
          <w:ilvl w:val="0"/>
          <w:numId w:val="1"/>
        </w:numPr>
        <w:jc w:val="center"/>
        <w:rPr>
          <w:b/>
        </w:rPr>
      </w:pPr>
      <w:r>
        <w:rPr>
          <w:b/>
        </w:rPr>
        <w:t>čl</w:t>
      </w:r>
      <w:r w:rsidR="00FD1F9A">
        <w:rPr>
          <w:b/>
        </w:rPr>
        <w:t>en</w:t>
      </w:r>
    </w:p>
    <w:p w:rsidR="001818AD" w:rsidRDefault="001818AD" w:rsidP="001818AD">
      <w:pPr>
        <w:jc w:val="both"/>
      </w:pPr>
      <w:r>
        <w:t>Z dnem veljavnosti tega</w:t>
      </w:r>
      <w:r w:rsidR="00D6614E">
        <w:t xml:space="preserve"> odloka preneha veljati za območje Občine Sveti Jurij v Slovenskih goricah Odlok o razglasitvi kulturnih in zgodovinskih spomenikov v Občini Lenart (Uradni list RS, št. 14/92 in 13/98). </w:t>
      </w:r>
    </w:p>
    <w:p w:rsidR="00D6614E" w:rsidRDefault="00D6614E" w:rsidP="001818AD">
      <w:pPr>
        <w:jc w:val="both"/>
      </w:pPr>
    </w:p>
    <w:p w:rsidR="00D6614E" w:rsidRPr="001818AD" w:rsidRDefault="00D6614E" w:rsidP="001818AD">
      <w:pPr>
        <w:jc w:val="both"/>
      </w:pPr>
    </w:p>
    <w:p w:rsidR="001818AD" w:rsidRDefault="001818AD" w:rsidP="00FD1F9A">
      <w:pPr>
        <w:pStyle w:val="Odstavekseznama"/>
        <w:numPr>
          <w:ilvl w:val="0"/>
          <w:numId w:val="1"/>
        </w:numPr>
        <w:jc w:val="center"/>
        <w:rPr>
          <w:b/>
        </w:rPr>
      </w:pPr>
      <w:r>
        <w:rPr>
          <w:b/>
        </w:rPr>
        <w:t>člen</w:t>
      </w:r>
    </w:p>
    <w:p w:rsidR="001818AD" w:rsidRDefault="001818AD" w:rsidP="001818AD">
      <w:pPr>
        <w:jc w:val="both"/>
      </w:pPr>
      <w:r>
        <w:t xml:space="preserve">Ta odlok začne veljati naslednji dan po objavi v Medobčinskem uradnem vestniku. </w:t>
      </w:r>
    </w:p>
    <w:p w:rsidR="00D6614E" w:rsidRDefault="00D6614E" w:rsidP="001818AD">
      <w:pPr>
        <w:jc w:val="both"/>
      </w:pPr>
    </w:p>
    <w:p w:rsidR="00D6614E" w:rsidRDefault="00D6614E" w:rsidP="001818AD">
      <w:pPr>
        <w:jc w:val="both"/>
      </w:pPr>
    </w:p>
    <w:p w:rsidR="00D6614E" w:rsidRDefault="00D6614E" w:rsidP="001818AD">
      <w:pPr>
        <w:jc w:val="both"/>
      </w:pPr>
      <w:r>
        <w:t>Številka: 622-1/2012-</w:t>
      </w:r>
    </w:p>
    <w:p w:rsidR="00D6614E" w:rsidRDefault="00D6614E" w:rsidP="001818AD">
      <w:pPr>
        <w:jc w:val="both"/>
      </w:pPr>
      <w:r>
        <w:t xml:space="preserve">Jurovski Dol, </w:t>
      </w:r>
    </w:p>
    <w:p w:rsidR="00D6614E" w:rsidRDefault="00D6614E" w:rsidP="001818AD">
      <w:pPr>
        <w:jc w:val="both"/>
      </w:pPr>
    </w:p>
    <w:p w:rsidR="00D6614E" w:rsidRDefault="00D6614E" w:rsidP="001818AD">
      <w:pPr>
        <w:jc w:val="both"/>
      </w:pPr>
      <w:r>
        <w:t xml:space="preserve">                                                                                           Občina Sv. Jurij v Slov. goricah</w:t>
      </w:r>
    </w:p>
    <w:p w:rsidR="00D6614E" w:rsidRDefault="00D6614E" w:rsidP="001818AD">
      <w:pPr>
        <w:jc w:val="both"/>
      </w:pPr>
      <w:r>
        <w:t xml:space="preserve">                                                                                                          Peter Škrlec</w:t>
      </w:r>
    </w:p>
    <w:p w:rsidR="00D6614E" w:rsidRPr="001818AD" w:rsidRDefault="00D6614E" w:rsidP="001818AD">
      <w:pPr>
        <w:jc w:val="both"/>
      </w:pPr>
      <w:r>
        <w:t xml:space="preserve">                                                                                                               Župan </w:t>
      </w:r>
    </w:p>
    <w:sectPr w:rsidR="00D6614E" w:rsidRPr="00181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05FB4"/>
    <w:multiLevelType w:val="hybridMultilevel"/>
    <w:tmpl w:val="C30C1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2E1566"/>
    <w:multiLevelType w:val="hybridMultilevel"/>
    <w:tmpl w:val="C0062A86"/>
    <w:lvl w:ilvl="0" w:tplc="72B654AE">
      <w:start w:val="1"/>
      <w:numFmt w:val="bullet"/>
      <w:lvlText w:val="-"/>
      <w:lvlJc w:val="left"/>
      <w:pPr>
        <w:tabs>
          <w:tab w:val="num" w:pos="360"/>
        </w:tabs>
        <w:ind w:left="360" w:hanging="360"/>
      </w:pPr>
      <w:rPr>
        <w:rFonts w:ascii="Garamond" w:hAnsi="Garamond"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AF55DC"/>
    <w:multiLevelType w:val="hybridMultilevel"/>
    <w:tmpl w:val="F5488942"/>
    <w:lvl w:ilvl="0" w:tplc="54524D1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A06F77"/>
    <w:multiLevelType w:val="hybridMultilevel"/>
    <w:tmpl w:val="AB08D028"/>
    <w:lvl w:ilvl="0" w:tplc="E06AE7C2">
      <w:start w:val="3"/>
      <w:numFmt w:val="upperLetter"/>
      <w:lvlText w:val="%1)"/>
      <w:lvlJc w:val="left"/>
      <w:pPr>
        <w:ind w:left="3620" w:hanging="360"/>
      </w:pPr>
      <w:rPr>
        <w:rFonts w:hint="default"/>
      </w:rPr>
    </w:lvl>
    <w:lvl w:ilvl="1" w:tplc="04240019" w:tentative="1">
      <w:start w:val="1"/>
      <w:numFmt w:val="lowerLetter"/>
      <w:lvlText w:val="%2."/>
      <w:lvlJc w:val="left"/>
      <w:pPr>
        <w:ind w:left="4340" w:hanging="360"/>
      </w:pPr>
    </w:lvl>
    <w:lvl w:ilvl="2" w:tplc="0424001B" w:tentative="1">
      <w:start w:val="1"/>
      <w:numFmt w:val="lowerRoman"/>
      <w:lvlText w:val="%3."/>
      <w:lvlJc w:val="right"/>
      <w:pPr>
        <w:ind w:left="5060" w:hanging="180"/>
      </w:pPr>
    </w:lvl>
    <w:lvl w:ilvl="3" w:tplc="0424000F" w:tentative="1">
      <w:start w:val="1"/>
      <w:numFmt w:val="decimal"/>
      <w:lvlText w:val="%4."/>
      <w:lvlJc w:val="left"/>
      <w:pPr>
        <w:ind w:left="5780" w:hanging="360"/>
      </w:pPr>
    </w:lvl>
    <w:lvl w:ilvl="4" w:tplc="04240019" w:tentative="1">
      <w:start w:val="1"/>
      <w:numFmt w:val="lowerLetter"/>
      <w:lvlText w:val="%5."/>
      <w:lvlJc w:val="left"/>
      <w:pPr>
        <w:ind w:left="6500" w:hanging="360"/>
      </w:pPr>
    </w:lvl>
    <w:lvl w:ilvl="5" w:tplc="0424001B" w:tentative="1">
      <w:start w:val="1"/>
      <w:numFmt w:val="lowerRoman"/>
      <w:lvlText w:val="%6."/>
      <w:lvlJc w:val="right"/>
      <w:pPr>
        <w:ind w:left="7220" w:hanging="180"/>
      </w:pPr>
    </w:lvl>
    <w:lvl w:ilvl="6" w:tplc="0424000F" w:tentative="1">
      <w:start w:val="1"/>
      <w:numFmt w:val="decimal"/>
      <w:lvlText w:val="%7."/>
      <w:lvlJc w:val="left"/>
      <w:pPr>
        <w:ind w:left="7940" w:hanging="360"/>
      </w:pPr>
    </w:lvl>
    <w:lvl w:ilvl="7" w:tplc="04240019" w:tentative="1">
      <w:start w:val="1"/>
      <w:numFmt w:val="lowerLetter"/>
      <w:lvlText w:val="%8."/>
      <w:lvlJc w:val="left"/>
      <w:pPr>
        <w:ind w:left="8660" w:hanging="360"/>
      </w:pPr>
    </w:lvl>
    <w:lvl w:ilvl="8" w:tplc="0424001B" w:tentative="1">
      <w:start w:val="1"/>
      <w:numFmt w:val="lowerRoman"/>
      <w:lvlText w:val="%9."/>
      <w:lvlJc w:val="right"/>
      <w:pPr>
        <w:ind w:left="9380" w:hanging="180"/>
      </w:pPr>
    </w:lvl>
  </w:abstractNum>
  <w:abstractNum w:abstractNumId="4" w15:restartNumberingAfterBreak="0">
    <w:nsid w:val="5B2F56FD"/>
    <w:multiLevelType w:val="hybridMultilevel"/>
    <w:tmpl w:val="D8C47C70"/>
    <w:lvl w:ilvl="0" w:tplc="F4C85156">
      <w:start w:val="1"/>
      <w:numFmt w:val="upperLetter"/>
      <w:lvlText w:val="%1)"/>
      <w:lvlJc w:val="left"/>
      <w:pPr>
        <w:ind w:left="36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F0D1F90"/>
    <w:multiLevelType w:val="hybridMultilevel"/>
    <w:tmpl w:val="3472609A"/>
    <w:lvl w:ilvl="0" w:tplc="6A9C4CE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B17C8"/>
    <w:multiLevelType w:val="hybridMultilevel"/>
    <w:tmpl w:val="1896A9B4"/>
    <w:lvl w:ilvl="0" w:tplc="6A9C4CE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AF"/>
    <w:rsid w:val="001818AD"/>
    <w:rsid w:val="005875D2"/>
    <w:rsid w:val="008C5292"/>
    <w:rsid w:val="00CD78F9"/>
    <w:rsid w:val="00D04EAF"/>
    <w:rsid w:val="00D6614E"/>
    <w:rsid w:val="00E96957"/>
    <w:rsid w:val="00FD1F9A"/>
    <w:rsid w:val="00FE6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95E663-1F77-4688-BF1F-D298F0F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5875D2"/>
    <w:pPr>
      <w:keepNext/>
      <w:widowControl w:val="0"/>
      <w:tabs>
        <w:tab w:val="left" w:pos="566"/>
      </w:tabs>
      <w:autoSpaceDE w:val="0"/>
      <w:autoSpaceDN w:val="0"/>
      <w:spacing w:before="170"/>
      <w:outlineLvl w:val="0"/>
    </w:pPr>
    <w:rPr>
      <w:rFonts w:ascii="MS Sans Serif" w:eastAsia="Times New Roman" w:hAnsi="MS Sans Serif" w:cs="MS Sans Serif"/>
      <w:b/>
      <w:bCs/>
      <w:szCs w:val="24"/>
      <w:lang w:eastAsia="sl-SI"/>
    </w:rPr>
  </w:style>
  <w:style w:type="paragraph" w:styleId="Naslov2">
    <w:name w:val="heading 2"/>
    <w:basedOn w:val="Navaden"/>
    <w:next w:val="Navaden"/>
    <w:link w:val="Naslov2Znak"/>
    <w:qFormat/>
    <w:rsid w:val="005875D2"/>
    <w:pPr>
      <w:keepNext/>
      <w:widowControl w:val="0"/>
      <w:tabs>
        <w:tab w:val="left" w:pos="566"/>
      </w:tabs>
      <w:autoSpaceDE w:val="0"/>
      <w:autoSpaceDN w:val="0"/>
      <w:spacing w:before="281"/>
      <w:outlineLvl w:val="1"/>
    </w:pPr>
    <w:rPr>
      <w:rFonts w:ascii="Arial" w:eastAsia="Times New Roman" w:hAnsi="Arial" w:cs="Arial"/>
      <w:color w:val="00000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D1F9A"/>
    <w:pPr>
      <w:ind w:left="720"/>
      <w:contextualSpacing/>
    </w:pPr>
  </w:style>
  <w:style w:type="character" w:customStyle="1" w:styleId="Naslov1Znak">
    <w:name w:val="Naslov 1 Znak"/>
    <w:basedOn w:val="Privzetapisavaodstavka"/>
    <w:link w:val="Naslov1"/>
    <w:rsid w:val="005875D2"/>
    <w:rPr>
      <w:rFonts w:ascii="MS Sans Serif" w:eastAsia="Times New Roman" w:hAnsi="MS Sans Serif" w:cs="MS Sans Serif"/>
      <w:b/>
      <w:bCs/>
      <w:szCs w:val="24"/>
      <w:lang w:eastAsia="sl-SI"/>
    </w:rPr>
  </w:style>
  <w:style w:type="character" w:customStyle="1" w:styleId="Naslov2Znak">
    <w:name w:val="Naslov 2 Znak"/>
    <w:basedOn w:val="Privzetapisavaodstavka"/>
    <w:link w:val="Naslov2"/>
    <w:rsid w:val="005875D2"/>
    <w:rPr>
      <w:rFonts w:ascii="Arial" w:eastAsia="Times New Roman" w:hAnsi="Arial" w:cs="Arial"/>
      <w:color w:val="000000"/>
      <w:szCs w:val="24"/>
      <w:lang w:eastAsia="sl-SI"/>
    </w:rPr>
  </w:style>
  <w:style w:type="character" w:customStyle="1" w:styleId="apple-converted-space">
    <w:name w:val="apple-converted-space"/>
    <w:basedOn w:val="Privzetapisavaodstavka"/>
    <w:rsid w:val="00CD78F9"/>
  </w:style>
  <w:style w:type="character" w:styleId="Hiperpovezava">
    <w:name w:val="Hyperlink"/>
    <w:basedOn w:val="Privzetapisavaodstavka"/>
    <w:uiPriority w:val="99"/>
    <w:semiHidden/>
    <w:unhideWhenUsed/>
    <w:rsid w:val="00CD7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2763" TargetMode="External"/><Relationship Id="rId3" Type="http://schemas.openxmlformats.org/officeDocument/2006/relationships/settings" Target="settings.xml"/><Relationship Id="rId7" Type="http://schemas.openxmlformats.org/officeDocument/2006/relationships/hyperlink" Target="http://www.uradni-list.si/1/objava.jsp?sop=2009-01-34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3347" TargetMode="External"/><Relationship Id="rId11" Type="http://schemas.openxmlformats.org/officeDocument/2006/relationships/fontTable" Target="fontTable.xml"/><Relationship Id="rId5" Type="http://schemas.openxmlformats.org/officeDocument/2006/relationships/hyperlink" Target="http://www.uradni-list.si/1/objava.jsp?sop=2007-01-4692" TargetMode="External"/><Relationship Id="rId10" Type="http://schemas.openxmlformats.org/officeDocument/2006/relationships/hyperlink" Target="http://www.uradni-list.si/1/objava.jsp?sop=2015-01-050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18</Pages>
  <Words>6079</Words>
  <Characters>34651</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2</cp:revision>
  <dcterms:created xsi:type="dcterms:W3CDTF">2016-05-24T05:24:00Z</dcterms:created>
  <dcterms:modified xsi:type="dcterms:W3CDTF">2016-05-24T07:34:00Z</dcterms:modified>
</cp:coreProperties>
</file>